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250A20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0050208F" w:rsidRPr="0050208F">
        <w:rPr>
          <w:bCs/>
          <w:noProof w:val="0"/>
          <w:sz w:val="24"/>
          <w:szCs w:val="24"/>
        </w:rPr>
        <w:t xml:space="preserve">R2-1915507   </w:t>
      </w:r>
    </w:p>
    <w:p w14:paraId="11776FA6" w14:textId="5A64653B" w:rsidR="00A209D6" w:rsidRPr="00583E8A" w:rsidRDefault="008C2E2A" w:rsidP="00A209D6">
      <w:pPr>
        <w:pStyle w:val="Header"/>
        <w:tabs>
          <w:tab w:val="right" w:pos="9639"/>
        </w:tabs>
        <w:rPr>
          <w:rFonts w:eastAsia="SimSun"/>
          <w:bCs/>
          <w:sz w:val="24"/>
          <w:szCs w:val="24"/>
          <w:lang w:eastAsia="zh-CN"/>
        </w:rPr>
      </w:pPr>
      <w:r w:rsidRPr="00583E8A">
        <w:rPr>
          <w:rFonts w:eastAsia="SimSun"/>
          <w:bCs/>
          <w:sz w:val="24"/>
          <w:szCs w:val="24"/>
          <w:lang w:eastAsia="zh-CN"/>
        </w:rPr>
        <w:t>Reno</w:t>
      </w:r>
      <w:r w:rsidR="006574C0" w:rsidRPr="00583E8A">
        <w:rPr>
          <w:rFonts w:eastAsia="SimSun"/>
          <w:bCs/>
          <w:sz w:val="24"/>
          <w:szCs w:val="24"/>
          <w:lang w:eastAsia="zh-CN"/>
        </w:rPr>
        <w:t xml:space="preserve">,  </w:t>
      </w:r>
      <w:r w:rsidRPr="00583E8A">
        <w:rPr>
          <w:rFonts w:eastAsia="SimSun"/>
          <w:bCs/>
          <w:sz w:val="24"/>
          <w:szCs w:val="24"/>
          <w:lang w:eastAsia="zh-CN"/>
        </w:rPr>
        <w:t>USA</w:t>
      </w:r>
      <w:r w:rsidR="006574C0" w:rsidRPr="00583E8A">
        <w:rPr>
          <w:rFonts w:eastAsia="SimSun"/>
          <w:bCs/>
          <w:sz w:val="24"/>
          <w:szCs w:val="24"/>
          <w:lang w:eastAsia="zh-CN"/>
        </w:rPr>
        <w:t xml:space="preserve">, </w:t>
      </w:r>
      <w:r w:rsidRPr="00583E8A">
        <w:rPr>
          <w:rFonts w:eastAsia="SimSun"/>
          <w:bCs/>
          <w:sz w:val="24"/>
          <w:szCs w:val="24"/>
          <w:lang w:eastAsia="zh-CN"/>
        </w:rPr>
        <w:t>18</w:t>
      </w:r>
      <w:r w:rsidR="006574C0" w:rsidRPr="00583E8A">
        <w:rPr>
          <w:rFonts w:eastAsia="SimSun"/>
          <w:bCs/>
          <w:sz w:val="24"/>
          <w:szCs w:val="24"/>
          <w:lang w:eastAsia="zh-CN"/>
        </w:rPr>
        <w:t xml:space="preserve"> – </w:t>
      </w:r>
      <w:r w:rsidRPr="00583E8A">
        <w:rPr>
          <w:rFonts w:eastAsia="SimSun"/>
          <w:bCs/>
          <w:sz w:val="24"/>
          <w:szCs w:val="24"/>
          <w:lang w:eastAsia="zh-CN"/>
        </w:rPr>
        <w:t>22</w:t>
      </w:r>
      <w:r w:rsidR="006574C0" w:rsidRPr="00583E8A">
        <w:rPr>
          <w:rFonts w:eastAsia="SimSun"/>
          <w:bCs/>
          <w:sz w:val="24"/>
          <w:szCs w:val="24"/>
          <w:lang w:eastAsia="zh-CN"/>
        </w:rPr>
        <w:t xml:space="preserve"> </w:t>
      </w:r>
      <w:r w:rsidRPr="00583E8A">
        <w:rPr>
          <w:rFonts w:eastAsia="SimSun"/>
          <w:bCs/>
          <w:sz w:val="24"/>
          <w:szCs w:val="24"/>
          <w:lang w:eastAsia="zh-CN"/>
        </w:rPr>
        <w:t>November</w:t>
      </w:r>
      <w:r w:rsidR="006574C0" w:rsidRPr="00583E8A">
        <w:rPr>
          <w:rFonts w:eastAsia="SimSun"/>
          <w:bCs/>
          <w:sz w:val="24"/>
          <w:szCs w:val="24"/>
          <w:lang w:eastAsia="zh-CN"/>
        </w:rPr>
        <w:t xml:space="preserve"> 2019</w:t>
      </w:r>
      <w:r w:rsidR="00A209D6" w:rsidRPr="00583E8A">
        <w:rPr>
          <w:rFonts w:eastAsia="SimSun"/>
          <w:noProof w:val="0"/>
          <w:sz w:val="24"/>
          <w:szCs w:val="24"/>
          <w:lang w:eastAsia="zh-CN"/>
        </w:rPr>
        <w:tab/>
      </w:r>
    </w:p>
    <w:p w14:paraId="2E02E5F5" w14:textId="77777777" w:rsidR="00A209D6" w:rsidRPr="00583E8A" w:rsidRDefault="00A209D6" w:rsidP="00A209D6">
      <w:pPr>
        <w:pStyle w:val="Header"/>
        <w:rPr>
          <w:bCs/>
          <w:noProof w:val="0"/>
          <w:sz w:val="24"/>
        </w:rPr>
      </w:pPr>
    </w:p>
    <w:p w14:paraId="403CB9C0" w14:textId="77777777" w:rsidR="00A209D6" w:rsidRPr="00583E8A" w:rsidRDefault="00A209D6" w:rsidP="00A209D6">
      <w:pPr>
        <w:pStyle w:val="Header"/>
        <w:rPr>
          <w:bCs/>
          <w:noProof w:val="0"/>
          <w:sz w:val="24"/>
        </w:rPr>
      </w:pPr>
    </w:p>
    <w:p w14:paraId="74AEDB1B" w14:textId="06D014ED" w:rsidR="00A209D6" w:rsidRPr="00583E8A" w:rsidRDefault="00A209D6" w:rsidP="00A209D6">
      <w:pPr>
        <w:pStyle w:val="CRCoverPage"/>
        <w:tabs>
          <w:tab w:val="left" w:pos="1985"/>
        </w:tabs>
        <w:rPr>
          <w:rFonts w:cs="Arial"/>
          <w:b/>
          <w:bCs/>
          <w:sz w:val="24"/>
          <w:lang w:eastAsia="ja-JP"/>
        </w:rPr>
      </w:pPr>
      <w:r w:rsidRPr="00583E8A">
        <w:rPr>
          <w:rFonts w:cs="Arial"/>
          <w:b/>
          <w:bCs/>
          <w:sz w:val="24"/>
        </w:rPr>
        <w:t>Agenda item:</w:t>
      </w:r>
      <w:r w:rsidRPr="00583E8A">
        <w:rPr>
          <w:rFonts w:cs="Arial"/>
          <w:b/>
          <w:bCs/>
          <w:sz w:val="24"/>
        </w:rPr>
        <w:tab/>
      </w:r>
      <w:r w:rsidR="0050208F">
        <w:rPr>
          <w:rFonts w:cs="Arial"/>
          <w:b/>
          <w:bCs/>
          <w:sz w:val="24"/>
          <w:lang w:eastAsia="ja-JP"/>
        </w:rPr>
        <w:t>5.5.2</w:t>
      </w:r>
      <w:bookmarkStart w:id="0" w:name="_GoBack"/>
      <w:bookmarkEnd w:id="0"/>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278A8F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86782" w:rsidRPr="00186782">
        <w:rPr>
          <w:rFonts w:ascii="Arial" w:hAnsi="Arial" w:cs="Arial"/>
          <w:b/>
          <w:bCs/>
          <w:sz w:val="24"/>
        </w:rPr>
        <w:t>[107bis#36][NR R15] FR2 CA Fallbacks (Nokia</w:t>
      </w:r>
      <w:r w:rsidR="00186782">
        <w:rPr>
          <w:rFonts w:ascii="Arial" w:hAnsi="Arial" w:cs="Arial"/>
          <w:b/>
          <w:bCs/>
          <w:sz w:val="24"/>
        </w:rPr>
        <w:t>)</w:t>
      </w:r>
    </w:p>
    <w:p w14:paraId="1F147C23" w14:textId="10B5C51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86782" w:rsidRPr="00186782">
        <w:rPr>
          <w:rFonts w:ascii="Arial" w:hAnsi="Arial" w:cs="Arial"/>
          <w:b/>
          <w:bCs/>
          <w:sz w:val="24"/>
        </w:rPr>
        <w:t>NR_newRAT-Core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729BA87" w14:textId="77777777" w:rsidR="00442EA5" w:rsidRDefault="00442EA5" w:rsidP="00442EA5">
      <w:pPr>
        <w:pStyle w:val="BoldComments"/>
      </w:pPr>
      <w:r>
        <w:t>FR2 CA fallbacks</w:t>
      </w:r>
    </w:p>
    <w:p w14:paraId="76E5C261" w14:textId="77777777" w:rsidR="00442EA5" w:rsidRDefault="0050208F" w:rsidP="00442EA5">
      <w:pPr>
        <w:pStyle w:val="Doc-title"/>
      </w:pPr>
      <w:hyperlink r:id="rId12" w:tooltip="D:Documents3GPPtsg_ranWG2RAN2DocsR2-1913022.zip" w:history="1">
        <w:r w:rsidR="00442EA5" w:rsidRPr="00605B8C">
          <w:rPr>
            <w:rStyle w:val="Hyperlink"/>
          </w:rPr>
          <w:t>R2-1913022</w:t>
        </w:r>
      </w:hyperlink>
      <w:r w:rsidR="00442EA5">
        <w:tab/>
        <w:t>On FR2 CA fall-backs</w:t>
      </w:r>
      <w:r w:rsidR="00442EA5">
        <w:tab/>
        <w:t>Nokia, Nokia Shanghai Bell</w:t>
      </w:r>
      <w:r w:rsidR="00442EA5">
        <w:tab/>
        <w:t>discussion</w:t>
      </w:r>
      <w:r w:rsidR="00442EA5">
        <w:tab/>
        <w:t>Rel-15</w:t>
      </w:r>
      <w:r w:rsidR="00442EA5">
        <w:tab/>
        <w:t>NR_newRAT-Core</w:t>
      </w:r>
    </w:p>
    <w:p w14:paraId="675EEE4F" w14:textId="77777777" w:rsidR="00442EA5" w:rsidRPr="00F77696" w:rsidRDefault="00442EA5" w:rsidP="00442EA5">
      <w:pPr>
        <w:pStyle w:val="Doc-text2"/>
      </w:pPr>
      <w:r>
        <w:t xml:space="preserve">=&gt; Revised in </w:t>
      </w:r>
      <w:hyperlink r:id="rId13" w:tooltip="D:Documents3GPPtsg_ranWG2RAN2DocsR2-1913964.zip" w:history="1">
        <w:r w:rsidRPr="00605B8C">
          <w:rPr>
            <w:rStyle w:val="Hyperlink"/>
          </w:rPr>
          <w:t>R2-191396</w:t>
        </w:r>
        <w:r>
          <w:rPr>
            <w:rStyle w:val="Hyperlink"/>
          </w:rPr>
          <w:t>5</w:t>
        </w:r>
      </w:hyperlink>
    </w:p>
    <w:p w14:paraId="3FE93C45" w14:textId="77777777" w:rsidR="00442EA5" w:rsidRDefault="0050208F" w:rsidP="00442EA5">
      <w:pPr>
        <w:pStyle w:val="Doc-title"/>
      </w:pPr>
      <w:hyperlink r:id="rId14" w:tooltip="D:Documents3GPPtsg_ranWG2RAN2DocsR2-1913965.zip" w:history="1">
        <w:r w:rsidR="00442EA5" w:rsidRPr="00605B8C">
          <w:rPr>
            <w:rStyle w:val="Hyperlink"/>
          </w:rPr>
          <w:t>R2-1913965</w:t>
        </w:r>
      </w:hyperlink>
      <w:r w:rsidR="00442EA5">
        <w:tab/>
        <w:t>On FR2 CA fall-backs</w:t>
      </w:r>
      <w:r w:rsidR="00442EA5">
        <w:tab/>
        <w:t>Nokia, Nokia Shanghai Bell</w:t>
      </w:r>
      <w:r w:rsidR="00442EA5">
        <w:tab/>
        <w:t>discussion</w:t>
      </w:r>
      <w:r w:rsidR="00442EA5">
        <w:tab/>
        <w:t>Rel-15</w:t>
      </w:r>
      <w:r w:rsidR="00442EA5">
        <w:tab/>
        <w:t>NR_newRAT-Core</w:t>
      </w:r>
    </w:p>
    <w:p w14:paraId="71B9E84C" w14:textId="77777777" w:rsidR="00442EA5" w:rsidRDefault="00442EA5" w:rsidP="00442EA5">
      <w:pPr>
        <w:pStyle w:val="Doc-text2"/>
      </w:pPr>
      <w:r>
        <w:t xml:space="preserve">- </w:t>
      </w:r>
      <w:r>
        <w:tab/>
        <w:t xml:space="preserve">Another Option: Intel proposes that R4 defined new BW classes for the fallbacks. </w:t>
      </w:r>
    </w:p>
    <w:p w14:paraId="0411A586" w14:textId="77777777" w:rsidR="00442EA5" w:rsidRPr="00793AEC" w:rsidRDefault="00442EA5" w:rsidP="00442EA5">
      <w:pPr>
        <w:pStyle w:val="Doc-text2"/>
      </w:pPr>
    </w:p>
    <w:p w14:paraId="3407A72C" w14:textId="77777777" w:rsidR="00442EA5" w:rsidRDefault="0050208F" w:rsidP="00442EA5">
      <w:pPr>
        <w:pStyle w:val="Doc-title"/>
      </w:pPr>
      <w:hyperlink r:id="rId15" w:tooltip="D:Documents3GPPtsg_ranWG2RAN2DocsR2-1913525.zip" w:history="1">
        <w:r w:rsidR="00442EA5" w:rsidRPr="00605B8C">
          <w:rPr>
            <w:rStyle w:val="Hyperlink"/>
          </w:rPr>
          <w:t>R2-1913525</w:t>
        </w:r>
      </w:hyperlink>
      <w:r w:rsidR="00442EA5">
        <w:tab/>
        <w:t>Handling of fallback band combinations</w:t>
      </w:r>
      <w:r w:rsidR="00442EA5">
        <w:tab/>
        <w:t>Ericsson, NTT DOCOMO</w:t>
      </w:r>
      <w:r w:rsidR="00442EA5">
        <w:tab/>
        <w:t>discussion</w:t>
      </w:r>
    </w:p>
    <w:p w14:paraId="24A5243E" w14:textId="77777777" w:rsidR="00442EA5" w:rsidRDefault="00442EA5" w:rsidP="00442EA5">
      <w:pPr>
        <w:pStyle w:val="Doc-text2"/>
      </w:pPr>
      <w:r>
        <w:t>DISCUSSION</w:t>
      </w:r>
    </w:p>
    <w:p w14:paraId="6E6C2F85" w14:textId="77777777" w:rsidR="00442EA5" w:rsidRDefault="00442EA5" w:rsidP="00442EA5">
      <w:pPr>
        <w:pStyle w:val="Doc-text2"/>
      </w:pPr>
      <w:r>
        <w:t xml:space="preserve">- </w:t>
      </w:r>
      <w:r>
        <w:tab/>
        <w:t xml:space="preserve">Apple think there are good reasons for the R4 decision. The UE have to implement the fallback combinations, which is not realistic for the concerned cases. Intel agrees, and think there are ways to solve this, e.g. as indicated in the Nokia paper. Samsung agrees and agrees we need to discuss in R2. </w:t>
      </w:r>
    </w:p>
    <w:p w14:paraId="4767E8B8" w14:textId="77777777" w:rsidR="00442EA5" w:rsidRDefault="00442EA5" w:rsidP="00442EA5">
      <w:pPr>
        <w:pStyle w:val="Doc-text2"/>
      </w:pPr>
      <w:r>
        <w:t xml:space="preserve">- </w:t>
      </w:r>
      <w:r>
        <w:tab/>
        <w:t xml:space="preserve">Samsung think option 2 Nok is not possible and prefer option 3. </w:t>
      </w:r>
    </w:p>
    <w:p w14:paraId="7857A7CB" w14:textId="77777777" w:rsidR="00442EA5" w:rsidRDefault="00442EA5" w:rsidP="00442EA5">
      <w:pPr>
        <w:pStyle w:val="Doc-text2"/>
      </w:pPr>
      <w:r>
        <w:t xml:space="preserve">- </w:t>
      </w:r>
      <w:r>
        <w:tab/>
        <w:t xml:space="preserve">Docomo think we should not change our signalling. </w:t>
      </w:r>
    </w:p>
    <w:p w14:paraId="55CD057D" w14:textId="77777777" w:rsidR="00442EA5" w:rsidRDefault="00442EA5" w:rsidP="00442EA5">
      <w:pPr>
        <w:pStyle w:val="Doc-text2"/>
      </w:pPr>
      <w:r>
        <w:t xml:space="preserve">- </w:t>
      </w:r>
      <w:r>
        <w:tab/>
        <w:t xml:space="preserve">Samsung think this is just for FR2 intra-band. </w:t>
      </w:r>
    </w:p>
    <w:p w14:paraId="3558783C" w14:textId="77777777" w:rsidR="00442EA5" w:rsidRDefault="00442EA5" w:rsidP="00442EA5">
      <w:pPr>
        <w:pStyle w:val="Doc-text2"/>
      </w:pPr>
      <w:r>
        <w:t xml:space="preserve">- </w:t>
      </w:r>
      <w:r>
        <w:tab/>
        <w:t xml:space="preserve">Apple think the non-backwards compatibility is not an issue as the issue relates to band combinations not yet in the field. </w:t>
      </w:r>
    </w:p>
    <w:p w14:paraId="1E0957E3" w14:textId="77777777" w:rsidR="00442EA5" w:rsidRDefault="00442EA5" w:rsidP="00442EA5">
      <w:pPr>
        <w:pStyle w:val="Doc-text2"/>
      </w:pPr>
      <w:r>
        <w:t>-</w:t>
      </w:r>
      <w:r>
        <w:tab/>
        <w:t xml:space="preserve">QC agrees the current scheme shall be kept, and new signalling shall be used for the new cases. </w:t>
      </w:r>
    </w:p>
    <w:p w14:paraId="4F146B83" w14:textId="77777777" w:rsidR="00442EA5" w:rsidRDefault="00442EA5" w:rsidP="00442EA5">
      <w:pPr>
        <w:pStyle w:val="Doc-text2"/>
        <w:ind w:left="0" w:firstLine="0"/>
      </w:pPr>
    </w:p>
    <w:p w14:paraId="5D6D7181" w14:textId="77777777" w:rsidR="00442EA5" w:rsidRPr="00583E8A" w:rsidRDefault="00442EA5" w:rsidP="00442EA5">
      <w:pPr>
        <w:pStyle w:val="EmailDiscussion"/>
      </w:pPr>
      <w:r w:rsidRPr="00583E8A">
        <w:t>[107bis#xx][NR] FR2 CA Fallbacks (Nokia)</w:t>
      </w:r>
    </w:p>
    <w:p w14:paraId="4AA857CD" w14:textId="77777777" w:rsidR="00442EA5" w:rsidRDefault="00442EA5" w:rsidP="00442EA5">
      <w:pPr>
        <w:pStyle w:val="EmailDiscussion2"/>
      </w:pPr>
      <w:r w:rsidRPr="00583E8A">
        <w:tab/>
      </w:r>
      <w:r>
        <w:t>Intended outcome: Identify possible options, pave the way for discussions next meeting</w:t>
      </w:r>
    </w:p>
    <w:p w14:paraId="373D2991" w14:textId="77777777" w:rsidR="00442EA5" w:rsidRDefault="00442EA5" w:rsidP="00442EA5">
      <w:pPr>
        <w:pStyle w:val="EmailDiscussion2"/>
      </w:pPr>
      <w:r>
        <w:tab/>
        <w:t>Deadline: Long</w:t>
      </w:r>
    </w:p>
    <w:p w14:paraId="2BBFF540" w14:textId="2547012B" w:rsidR="00A209D6" w:rsidRDefault="00A209D6" w:rsidP="00A209D6">
      <w:pPr>
        <w:pStyle w:val="Heading1"/>
      </w:pPr>
      <w:r w:rsidRPr="006E13D1">
        <w:t>2</w:t>
      </w:r>
      <w:r w:rsidRPr="006E13D1">
        <w:tab/>
      </w:r>
      <w:r w:rsidR="00484A46">
        <w:t>Discussion</w:t>
      </w:r>
    </w:p>
    <w:p w14:paraId="30049EB9" w14:textId="29ACBF70" w:rsidR="00082D48" w:rsidRPr="00082D48" w:rsidRDefault="00082D48" w:rsidP="00082D48">
      <w:r>
        <w:t xml:space="preserve">During the RAN2#107-bis meeting, there were some options presented from [2]. In addition, Intel proposed during the online discussion yet another Option (4 below). </w:t>
      </w:r>
    </w:p>
    <w:tbl>
      <w:tblPr>
        <w:tblStyle w:val="TableGrid"/>
        <w:tblW w:w="0" w:type="auto"/>
        <w:tblLook w:val="04A0" w:firstRow="1" w:lastRow="0" w:firstColumn="1" w:lastColumn="0" w:noHBand="0" w:noVBand="1"/>
      </w:tblPr>
      <w:tblGrid>
        <w:gridCol w:w="3210"/>
        <w:gridCol w:w="3210"/>
        <w:gridCol w:w="3211"/>
      </w:tblGrid>
      <w:tr w:rsidR="00082D48" w14:paraId="3469535C" w14:textId="77777777" w:rsidTr="003D78F5">
        <w:tc>
          <w:tcPr>
            <w:tcW w:w="3210" w:type="dxa"/>
          </w:tcPr>
          <w:p w14:paraId="4AFD3BFB" w14:textId="77777777" w:rsidR="00082D48" w:rsidRPr="00410038" w:rsidRDefault="00082D48" w:rsidP="003D78F5">
            <w:pPr>
              <w:jc w:val="center"/>
              <w:rPr>
                <w:b/>
              </w:rPr>
            </w:pPr>
            <w:r w:rsidRPr="00410038">
              <w:rPr>
                <w:b/>
              </w:rPr>
              <w:t>Solution direction</w:t>
            </w:r>
          </w:p>
        </w:tc>
        <w:tc>
          <w:tcPr>
            <w:tcW w:w="3210" w:type="dxa"/>
          </w:tcPr>
          <w:p w14:paraId="6FF2DE01" w14:textId="77777777" w:rsidR="00082D48" w:rsidRPr="00410038" w:rsidRDefault="00082D48" w:rsidP="003D78F5">
            <w:pPr>
              <w:jc w:val="center"/>
              <w:rPr>
                <w:b/>
              </w:rPr>
            </w:pPr>
            <w:r w:rsidRPr="00410038">
              <w:rPr>
                <w:b/>
              </w:rPr>
              <w:t>Pros</w:t>
            </w:r>
          </w:p>
        </w:tc>
        <w:tc>
          <w:tcPr>
            <w:tcW w:w="3211" w:type="dxa"/>
          </w:tcPr>
          <w:p w14:paraId="533BB3B0" w14:textId="77777777" w:rsidR="00082D48" w:rsidRPr="00410038" w:rsidRDefault="00082D48" w:rsidP="003D78F5">
            <w:pPr>
              <w:jc w:val="center"/>
              <w:rPr>
                <w:b/>
              </w:rPr>
            </w:pPr>
            <w:r w:rsidRPr="00410038">
              <w:rPr>
                <w:b/>
              </w:rPr>
              <w:t>Cons</w:t>
            </w:r>
          </w:p>
        </w:tc>
      </w:tr>
      <w:tr w:rsidR="00082D48" w14:paraId="46393D73" w14:textId="77777777" w:rsidTr="003D78F5">
        <w:tc>
          <w:tcPr>
            <w:tcW w:w="3210" w:type="dxa"/>
          </w:tcPr>
          <w:p w14:paraId="47AFC3E4" w14:textId="77777777" w:rsidR="00082D48" w:rsidRPr="00410038" w:rsidRDefault="00082D48" w:rsidP="003D78F5">
            <w:pPr>
              <w:rPr>
                <w:b/>
              </w:rPr>
            </w:pPr>
            <w:r>
              <w:rPr>
                <w:b/>
              </w:rPr>
              <w:t xml:space="preserve">Option 1: </w:t>
            </w:r>
            <w:r w:rsidRPr="00410038">
              <w:rPr>
                <w:b/>
              </w:rPr>
              <w:t>UE reports all the fallbacks that it does not support (</w:t>
            </w:r>
            <w:r>
              <w:rPr>
                <w:b/>
              </w:rPr>
              <w:t>i.e. incapability indication</w:t>
            </w:r>
            <w:r w:rsidRPr="00410038">
              <w:rPr>
                <w:b/>
              </w:rPr>
              <w:t>)</w:t>
            </w:r>
          </w:p>
        </w:tc>
        <w:tc>
          <w:tcPr>
            <w:tcW w:w="3210" w:type="dxa"/>
          </w:tcPr>
          <w:p w14:paraId="3CFAE901" w14:textId="77777777" w:rsidR="00082D48" w:rsidRDefault="00082D48" w:rsidP="003D78F5">
            <w:r>
              <w:t>(+) Increase in capability container size is reduced provided that these indications can be limited</w:t>
            </w:r>
          </w:p>
          <w:p w14:paraId="00C9A9C7" w14:textId="77777777" w:rsidR="00082D48" w:rsidRDefault="00082D48" w:rsidP="003D78F5">
            <w:commentRangeStart w:id="1"/>
            <w:r>
              <w:t>(+) Approach is well known and simple to understand (i.e. similar reporting as in LTE)</w:t>
            </w:r>
            <w:commentRangeEnd w:id="1"/>
            <w:r w:rsidR="00EB0CC6">
              <w:rPr>
                <w:rStyle w:val="CommentReference"/>
              </w:rPr>
              <w:commentReference w:id="1"/>
            </w:r>
          </w:p>
        </w:tc>
        <w:tc>
          <w:tcPr>
            <w:tcW w:w="3211" w:type="dxa"/>
          </w:tcPr>
          <w:p w14:paraId="5382E5AC" w14:textId="77777777" w:rsidR="00082D48" w:rsidRDefault="00082D48" w:rsidP="003D78F5">
            <w:r>
              <w:t xml:space="preserve">(-) Introduces new UE behavior and requirement for network </w:t>
            </w:r>
          </w:p>
          <w:p w14:paraId="5FB1E208" w14:textId="34864E48" w:rsidR="00082D48" w:rsidRDefault="00082D48" w:rsidP="003D78F5">
            <w:r>
              <w:t>(-) Works only if the non</w:t>
            </w:r>
            <w:r w:rsidR="00235EEE">
              <w:t>-</w:t>
            </w:r>
            <w:r>
              <w:t>supported cases are limited but explodes size if the UE only supports limited number of fallbacks (see Annex A)</w:t>
            </w:r>
          </w:p>
        </w:tc>
      </w:tr>
      <w:tr w:rsidR="00082D48" w14:paraId="5E94487B" w14:textId="77777777" w:rsidTr="003D78F5">
        <w:tc>
          <w:tcPr>
            <w:tcW w:w="3210" w:type="dxa"/>
          </w:tcPr>
          <w:p w14:paraId="1CF737E0" w14:textId="77777777" w:rsidR="00082D48" w:rsidRPr="00D30EA4" w:rsidRDefault="00082D48" w:rsidP="003D78F5">
            <w:pPr>
              <w:rPr>
                <w:b/>
              </w:rPr>
            </w:pPr>
            <w:r w:rsidRPr="00D30EA4">
              <w:rPr>
                <w:b/>
              </w:rPr>
              <w:t xml:space="preserve">Option 2: </w:t>
            </w:r>
            <w:r>
              <w:rPr>
                <w:b/>
              </w:rPr>
              <w:t xml:space="preserve">UE reports the fallbacks it does not support outside the current capability framework (e.g. </w:t>
            </w:r>
            <w:r>
              <w:rPr>
                <w:b/>
              </w:rPr>
              <w:lastRenderedPageBreak/>
              <w:t>new procedure or new UE “incapabilities”)</w:t>
            </w:r>
          </w:p>
        </w:tc>
        <w:tc>
          <w:tcPr>
            <w:tcW w:w="3210" w:type="dxa"/>
          </w:tcPr>
          <w:p w14:paraId="532750B5" w14:textId="77777777" w:rsidR="00082D48" w:rsidRDefault="00082D48" w:rsidP="003D78F5">
            <w:r>
              <w:lastRenderedPageBreak/>
              <w:t xml:space="preserve">(+) Specification wise this does not cause non-backward compatible behavior i.e. existing specification </w:t>
            </w:r>
            <w:r>
              <w:lastRenderedPageBreak/>
              <w:t>text is the norm rather than the exception</w:t>
            </w:r>
          </w:p>
        </w:tc>
        <w:tc>
          <w:tcPr>
            <w:tcW w:w="3211" w:type="dxa"/>
          </w:tcPr>
          <w:p w14:paraId="265022C5" w14:textId="77777777" w:rsidR="00082D48" w:rsidRDefault="00082D48" w:rsidP="003D78F5">
            <w:r>
              <w:lastRenderedPageBreak/>
              <w:t xml:space="preserve">(-) Introduces new UE behavior and requirement for network </w:t>
            </w:r>
          </w:p>
          <w:p w14:paraId="6B52B26F" w14:textId="77777777" w:rsidR="00082D48" w:rsidRDefault="00082D48" w:rsidP="003D78F5">
            <w:r>
              <w:lastRenderedPageBreak/>
              <w:t>(-) Overhead of additional procedure</w:t>
            </w:r>
          </w:p>
        </w:tc>
      </w:tr>
      <w:tr w:rsidR="00082D48" w14:paraId="67FE63C9" w14:textId="77777777" w:rsidTr="003D78F5">
        <w:tc>
          <w:tcPr>
            <w:tcW w:w="3210" w:type="dxa"/>
          </w:tcPr>
          <w:p w14:paraId="79AD6FC5" w14:textId="521F9B9E" w:rsidR="00082D48" w:rsidRDefault="00082D48" w:rsidP="003D78F5">
            <w:r>
              <w:rPr>
                <w:b/>
              </w:rPr>
              <w:lastRenderedPageBreak/>
              <w:t>Option 3: Specific criteria sent with the problematic band combination allowing network to figure out the unsupported cases</w:t>
            </w:r>
            <w:r w:rsidR="00224A34">
              <w:rPr>
                <w:b/>
              </w:rPr>
              <w:t xml:space="preserve"> (the simplest being a 1 bit indicator for a given combination)</w:t>
            </w:r>
          </w:p>
        </w:tc>
        <w:tc>
          <w:tcPr>
            <w:tcW w:w="3210" w:type="dxa"/>
          </w:tcPr>
          <w:p w14:paraId="0DA5D7A6" w14:textId="77777777" w:rsidR="00082D48" w:rsidRDefault="00082D48" w:rsidP="003D78F5">
            <w:r>
              <w:t>(+) Low impact on capability container</w:t>
            </w:r>
          </w:p>
          <w:p w14:paraId="2E4EB12E" w14:textId="77777777" w:rsidR="00082D48" w:rsidRDefault="00082D48" w:rsidP="003D78F5">
            <w:r>
              <w:t>(+) Tied to certain band combinations only</w:t>
            </w:r>
          </w:p>
          <w:p w14:paraId="1BEFFC31" w14:textId="4297C938" w:rsidR="00082D48" w:rsidRDefault="00866D75" w:rsidP="003D78F5">
            <w:r>
              <w:t xml:space="preserve">(+) </w:t>
            </w:r>
            <w:r w:rsidR="00224A34">
              <w:t>May a</w:t>
            </w:r>
            <w:r>
              <w:t xml:space="preserve">llow signalling of additional combinations in between the top level combination and the direct fallback one. </w:t>
            </w:r>
          </w:p>
        </w:tc>
        <w:tc>
          <w:tcPr>
            <w:tcW w:w="3211" w:type="dxa"/>
          </w:tcPr>
          <w:p w14:paraId="60AAAC68" w14:textId="45220881" w:rsidR="00082D48" w:rsidRDefault="00082D48" w:rsidP="003D78F5">
            <w:r>
              <w:t>(-) Introduces new UE behavior and requirement for network</w:t>
            </w:r>
          </w:p>
          <w:p w14:paraId="45AD06AB" w14:textId="5E36C917" w:rsidR="00866D75" w:rsidRDefault="00866D75" w:rsidP="003D78F5">
            <w:r>
              <w:t>(-) Increased level of complexity in specification</w:t>
            </w:r>
            <w:r w:rsidR="00224A34">
              <w:t xml:space="preserve"> (specific procedural text for network to know the problematic cases v/s the other)</w:t>
            </w:r>
          </w:p>
          <w:p w14:paraId="0EA4EC00" w14:textId="77777777" w:rsidR="00082D48" w:rsidRDefault="00082D48" w:rsidP="003D78F5">
            <w:r>
              <w:t>(-) Difficult to interpret, chances of misinterpretation will lead to radio link failures during reconfiguration</w:t>
            </w:r>
          </w:p>
        </w:tc>
      </w:tr>
      <w:tr w:rsidR="00082D48" w14:paraId="09FA85FE" w14:textId="77777777" w:rsidTr="003D78F5">
        <w:tc>
          <w:tcPr>
            <w:tcW w:w="3210" w:type="dxa"/>
          </w:tcPr>
          <w:p w14:paraId="574799BE" w14:textId="4A66F162" w:rsidR="00082D48" w:rsidRDefault="00082D48" w:rsidP="003D78F5">
            <w:pPr>
              <w:rPr>
                <w:b/>
              </w:rPr>
            </w:pPr>
            <w:r>
              <w:rPr>
                <w:b/>
              </w:rPr>
              <w:t>Option 4: RAN4</w:t>
            </w:r>
            <w:r w:rsidRPr="00082D48">
              <w:rPr>
                <w:b/>
              </w:rPr>
              <w:t xml:space="preserve"> define</w:t>
            </w:r>
            <w:r>
              <w:rPr>
                <w:b/>
              </w:rPr>
              <w:t>s</w:t>
            </w:r>
            <w:r w:rsidRPr="00082D48">
              <w:rPr>
                <w:b/>
              </w:rPr>
              <w:t xml:space="preserve"> new BW classes for the fallbacks</w:t>
            </w:r>
            <w:r>
              <w:rPr>
                <w:b/>
              </w:rPr>
              <w:t xml:space="preserve"> which means that the “</w:t>
            </w:r>
            <w:r w:rsidRPr="00C770F5">
              <w:rPr>
                <w:rFonts w:ascii="Arial" w:eastAsia="Malgun Gothic" w:hAnsi="Arial"/>
                <w:b/>
                <w:sz w:val="18"/>
              </w:rPr>
              <w:t>NR CA bandwidth class</w:t>
            </w:r>
            <w:r>
              <w:rPr>
                <w:rFonts w:ascii="Arial" w:eastAsia="Malgun Gothic" w:hAnsi="Arial"/>
                <w:b/>
                <w:sz w:val="18"/>
              </w:rPr>
              <w:t>” adds new types (e.g. R, S, T…) to indicate those bandwidth classes which suffer from the restriction that only direct fallback to A is allowed.</w:t>
            </w:r>
          </w:p>
        </w:tc>
        <w:tc>
          <w:tcPr>
            <w:tcW w:w="3210" w:type="dxa"/>
          </w:tcPr>
          <w:p w14:paraId="07661004" w14:textId="1BE3A276" w:rsidR="00082D48" w:rsidRDefault="00382E34" w:rsidP="003D78F5">
            <w:r>
              <w:t xml:space="preserve">(+) Low impact on RAN2 signalling </w:t>
            </w:r>
            <w:r w:rsidR="00B75EF8">
              <w:t xml:space="preserve">as the new behavior may be localized to a given bandwidth class definition </w:t>
            </w:r>
            <w:r>
              <w:t xml:space="preserve">(i.e. extending class in </w:t>
            </w:r>
            <w:r w:rsidRPr="00382E34">
              <w:t>CA-BandwidthClassNR</w:t>
            </w:r>
            <w:r>
              <w:t>)</w:t>
            </w:r>
          </w:p>
          <w:p w14:paraId="70E1F5F2" w14:textId="047A901A" w:rsidR="00382E34" w:rsidRDefault="00382E34" w:rsidP="003D78F5">
            <w:r>
              <w:t xml:space="preserve">(+) UE signals the “new type” in problematic band combinations.  </w:t>
            </w:r>
          </w:p>
        </w:tc>
        <w:tc>
          <w:tcPr>
            <w:tcW w:w="3211" w:type="dxa"/>
          </w:tcPr>
          <w:p w14:paraId="74FE2E44" w14:textId="77777777" w:rsidR="00082D48" w:rsidRDefault="00866D75" w:rsidP="003D78F5">
            <w:r>
              <w:t>(-) Introduces new UE behavior and requirement for network</w:t>
            </w:r>
          </w:p>
          <w:p w14:paraId="27A542A5" w14:textId="2CE1523A" w:rsidR="00866D75" w:rsidRDefault="00866D75" w:rsidP="003D78F5">
            <w:r>
              <w:t>(-) Fixes the behavior that only the direct fallback to A is supported (i.e. intermediate standalone tested combinations cannot be signalled)</w:t>
            </w:r>
          </w:p>
        </w:tc>
      </w:tr>
      <w:tr w:rsidR="005A7248" w14:paraId="310620F4" w14:textId="77777777" w:rsidTr="003D78F5">
        <w:tc>
          <w:tcPr>
            <w:tcW w:w="3210" w:type="dxa"/>
          </w:tcPr>
          <w:p w14:paraId="7AFCEAF3" w14:textId="36241B69" w:rsidR="005A7248" w:rsidRPr="00235EEE" w:rsidRDefault="005A7248" w:rsidP="003D78F5">
            <w:pPr>
              <w:rPr>
                <w:b/>
                <w:highlight w:val="yellow"/>
                <w:lang w:eastAsia="ja-JP"/>
              </w:rPr>
            </w:pPr>
            <w:r w:rsidRPr="005A7248">
              <w:rPr>
                <w:rFonts w:hint="eastAsia"/>
                <w:b/>
                <w:lang w:eastAsia="ja-JP"/>
              </w:rPr>
              <w:t>Option 5</w:t>
            </w:r>
            <w:r>
              <w:rPr>
                <w:b/>
                <w:lang w:eastAsia="ja-JP"/>
              </w:rPr>
              <w:t xml:space="preserve">: Up to NW implementation (e.g. use of </w:t>
            </w:r>
            <w:r w:rsidR="009C72A3">
              <w:rPr>
                <w:b/>
                <w:lang w:eastAsia="ja-JP"/>
              </w:rPr>
              <w:t xml:space="preserve">masked </w:t>
            </w:r>
            <w:r>
              <w:rPr>
                <w:b/>
                <w:lang w:eastAsia="ja-JP"/>
              </w:rPr>
              <w:t>IMEI-SV)</w:t>
            </w:r>
          </w:p>
        </w:tc>
        <w:tc>
          <w:tcPr>
            <w:tcW w:w="3210" w:type="dxa"/>
          </w:tcPr>
          <w:p w14:paraId="5A4FCF2A" w14:textId="386565C1" w:rsidR="005A7248" w:rsidRDefault="009C72A3" w:rsidP="003D78F5">
            <w:pPr>
              <w:rPr>
                <w:lang w:eastAsia="ja-JP"/>
              </w:rPr>
            </w:pPr>
            <w:r>
              <w:rPr>
                <w:rFonts w:hint="eastAsia"/>
                <w:lang w:eastAsia="ja-JP"/>
              </w:rPr>
              <w:t xml:space="preserve">(+) </w:t>
            </w:r>
            <w:r>
              <w:rPr>
                <w:lang w:eastAsia="ja-JP"/>
              </w:rPr>
              <w:t xml:space="preserve">The specification is ready to </w:t>
            </w:r>
            <w:r w:rsidR="00A16836">
              <w:rPr>
                <w:lang w:eastAsia="ja-JP"/>
              </w:rPr>
              <w:t>iron out the problematic scenarios.</w:t>
            </w:r>
          </w:p>
          <w:p w14:paraId="53CE5793" w14:textId="1F5C70F0" w:rsidR="00A16836" w:rsidRDefault="00A16836" w:rsidP="003D78F5">
            <w:pPr>
              <w:rPr>
                <w:lang w:eastAsia="ja-JP"/>
              </w:rPr>
            </w:pPr>
            <w:r>
              <w:rPr>
                <w:lang w:eastAsia="ja-JP"/>
              </w:rPr>
              <w:t>(+) Additional standard work is not needed.</w:t>
            </w:r>
          </w:p>
        </w:tc>
        <w:tc>
          <w:tcPr>
            <w:tcW w:w="3211" w:type="dxa"/>
          </w:tcPr>
          <w:p w14:paraId="618DB364" w14:textId="77777777" w:rsidR="005A7248" w:rsidRDefault="00802AE0" w:rsidP="003D78F5">
            <w:pPr>
              <w:rPr>
                <w:lang w:eastAsia="ja-JP"/>
              </w:rPr>
            </w:pPr>
            <w:r>
              <w:rPr>
                <w:rFonts w:hint="eastAsia"/>
                <w:lang w:eastAsia="ja-JP"/>
              </w:rPr>
              <w:t>(</w:t>
            </w:r>
            <w:r>
              <w:rPr>
                <w:lang w:eastAsia="ja-JP"/>
              </w:rPr>
              <w:t>-) The gNB needs to implement the strategy on what the gNB handles the problematic UEs by implementation (e.g. deconfigure CA).</w:t>
            </w:r>
          </w:p>
          <w:p w14:paraId="2E028070" w14:textId="5C02CF49" w:rsidR="00802AE0" w:rsidRDefault="00802AE0" w:rsidP="003D78F5">
            <w:pPr>
              <w:rPr>
                <w:lang w:eastAsia="ja-JP"/>
              </w:rPr>
            </w:pPr>
            <w:r>
              <w:rPr>
                <w:lang w:eastAsia="ja-JP"/>
              </w:rPr>
              <w:t>(-) Operational effort is required to register IMEI-SV of the problematic UEs.</w:t>
            </w:r>
          </w:p>
        </w:tc>
      </w:tr>
      <w:tr w:rsidR="00235EEE" w14:paraId="5EE83E41" w14:textId="77777777" w:rsidTr="003D78F5">
        <w:tc>
          <w:tcPr>
            <w:tcW w:w="3210" w:type="dxa"/>
          </w:tcPr>
          <w:p w14:paraId="3C27CD7D" w14:textId="431C46F8" w:rsidR="00235EEE" w:rsidRDefault="00235EEE" w:rsidP="003D78F5">
            <w:pPr>
              <w:rPr>
                <w:b/>
              </w:rPr>
            </w:pPr>
            <w:r w:rsidRPr="00235EEE">
              <w:rPr>
                <w:b/>
                <w:highlight w:val="yellow"/>
              </w:rPr>
              <w:t>Additional Options: If there are other solutions companies would like to propose to resolve the issue</w:t>
            </w:r>
            <w:r>
              <w:rPr>
                <w:b/>
                <w:highlight w:val="yellow"/>
              </w:rPr>
              <w:t xml:space="preserve"> (Note that not doing anything is not an option)</w:t>
            </w:r>
            <w:r w:rsidRPr="00235EEE">
              <w:rPr>
                <w:b/>
                <w:highlight w:val="yellow"/>
              </w:rPr>
              <w:t>.</w:t>
            </w:r>
          </w:p>
        </w:tc>
        <w:tc>
          <w:tcPr>
            <w:tcW w:w="3210" w:type="dxa"/>
          </w:tcPr>
          <w:p w14:paraId="5E031870" w14:textId="0282E26E" w:rsidR="00235EEE" w:rsidRDefault="00235EEE" w:rsidP="003D78F5"/>
        </w:tc>
        <w:tc>
          <w:tcPr>
            <w:tcW w:w="3211" w:type="dxa"/>
          </w:tcPr>
          <w:p w14:paraId="37CD6D56" w14:textId="77777777" w:rsidR="00235EEE" w:rsidRDefault="00235EEE" w:rsidP="003D78F5"/>
        </w:tc>
      </w:tr>
    </w:tbl>
    <w:p w14:paraId="4F547731" w14:textId="4FA2429D" w:rsidR="00A209D6" w:rsidRDefault="00A209D6" w:rsidP="00A209D6"/>
    <w:p w14:paraId="0D0CF16A" w14:textId="09F6A23A" w:rsidR="00235EEE" w:rsidRDefault="00235EEE" w:rsidP="00A209D6">
      <w:pPr>
        <w:rPr>
          <w:b/>
        </w:rPr>
      </w:pPr>
      <w:r w:rsidRPr="00235EEE">
        <w:rPr>
          <w:b/>
        </w:rPr>
        <w:t xml:space="preserve">Q1: </w:t>
      </w:r>
      <w:r>
        <w:rPr>
          <w:b/>
        </w:rPr>
        <w:t>Which Option would be suitable for companies? Please indicate preferred Option or</w:t>
      </w:r>
      <w:r w:rsidR="00060F5A">
        <w:rPr>
          <w:b/>
        </w:rPr>
        <w:t xml:space="preserve"> provide additional proposal in Additional Options.</w:t>
      </w:r>
    </w:p>
    <w:tbl>
      <w:tblPr>
        <w:tblStyle w:val="TableGrid"/>
        <w:tblW w:w="0" w:type="auto"/>
        <w:tblLook w:val="04A0" w:firstRow="1" w:lastRow="0" w:firstColumn="1" w:lastColumn="0" w:noHBand="0" w:noVBand="1"/>
      </w:tblPr>
      <w:tblGrid>
        <w:gridCol w:w="3256"/>
        <w:gridCol w:w="6375"/>
      </w:tblGrid>
      <w:tr w:rsidR="00BC5B9C" w14:paraId="2CC2518D" w14:textId="77777777" w:rsidTr="00BC5B9C">
        <w:tc>
          <w:tcPr>
            <w:tcW w:w="3256" w:type="dxa"/>
          </w:tcPr>
          <w:p w14:paraId="036ED9C5" w14:textId="4EE9630D" w:rsidR="00BC5B9C" w:rsidRPr="00B75EF8" w:rsidRDefault="00BC5B9C" w:rsidP="00BC5B9C">
            <w:pPr>
              <w:jc w:val="center"/>
              <w:rPr>
                <w:b/>
              </w:rPr>
            </w:pPr>
            <w:r w:rsidRPr="00B75EF8">
              <w:rPr>
                <w:b/>
              </w:rPr>
              <w:t>Company</w:t>
            </w:r>
          </w:p>
        </w:tc>
        <w:tc>
          <w:tcPr>
            <w:tcW w:w="6375" w:type="dxa"/>
          </w:tcPr>
          <w:p w14:paraId="4EA50BCB" w14:textId="692AB050" w:rsidR="00BC5B9C" w:rsidRPr="00B75EF8" w:rsidRDefault="00BC5B9C" w:rsidP="00BC5B9C">
            <w:pPr>
              <w:jc w:val="center"/>
              <w:rPr>
                <w:b/>
              </w:rPr>
            </w:pPr>
            <w:r w:rsidRPr="00B75EF8">
              <w:rPr>
                <w:b/>
              </w:rPr>
              <w:t>Preferred option(s)</w:t>
            </w:r>
          </w:p>
        </w:tc>
      </w:tr>
      <w:tr w:rsidR="00BC5B9C" w14:paraId="45C1F59C" w14:textId="77777777" w:rsidTr="00BC5B9C">
        <w:tc>
          <w:tcPr>
            <w:tcW w:w="3256" w:type="dxa"/>
          </w:tcPr>
          <w:p w14:paraId="35BF49CB" w14:textId="49B8330B" w:rsidR="00BC5B9C" w:rsidRDefault="00B75EF8" w:rsidP="00B75EF8">
            <w:pPr>
              <w:jc w:val="center"/>
              <w:rPr>
                <w:b/>
              </w:rPr>
            </w:pPr>
            <w:r>
              <w:rPr>
                <w:b/>
              </w:rPr>
              <w:t>Nokia</w:t>
            </w:r>
          </w:p>
        </w:tc>
        <w:tc>
          <w:tcPr>
            <w:tcW w:w="6375" w:type="dxa"/>
          </w:tcPr>
          <w:p w14:paraId="067EB3BC" w14:textId="17424C11" w:rsidR="00BC5B9C" w:rsidRPr="00B75EF8" w:rsidRDefault="00887D31" w:rsidP="00A209D6">
            <w:r>
              <w:t xml:space="preserve">Option 3 or </w:t>
            </w:r>
            <w:r w:rsidR="00556B18">
              <w:t xml:space="preserve">Option 4 looks reasonable </w:t>
            </w:r>
            <w:r w:rsidR="00D906F9">
              <w:t xml:space="preserve">with low </w:t>
            </w:r>
            <w:r>
              <w:t>impact to the capability container size</w:t>
            </w:r>
            <w:r w:rsidR="00D906F9">
              <w:t>.</w:t>
            </w:r>
          </w:p>
        </w:tc>
      </w:tr>
      <w:tr w:rsidR="00BC5B9C" w14:paraId="3979759E" w14:textId="77777777" w:rsidTr="00BC5B9C">
        <w:tc>
          <w:tcPr>
            <w:tcW w:w="3256" w:type="dxa"/>
          </w:tcPr>
          <w:p w14:paraId="3CF831FF" w14:textId="6460F9EC" w:rsidR="00BC5B9C" w:rsidRDefault="00061BC8" w:rsidP="00A209D6">
            <w:pPr>
              <w:rPr>
                <w:b/>
                <w:lang w:eastAsia="ja-JP"/>
              </w:rPr>
            </w:pPr>
            <w:r>
              <w:rPr>
                <w:rFonts w:hint="eastAsia"/>
                <w:b/>
                <w:lang w:eastAsia="ja-JP"/>
              </w:rPr>
              <w:t xml:space="preserve">NTT </w:t>
            </w:r>
            <w:r>
              <w:rPr>
                <w:b/>
                <w:lang w:eastAsia="ja-JP"/>
              </w:rPr>
              <w:t>DOCOMO</w:t>
            </w:r>
          </w:p>
        </w:tc>
        <w:tc>
          <w:tcPr>
            <w:tcW w:w="6375" w:type="dxa"/>
          </w:tcPr>
          <w:p w14:paraId="18A2D2B0" w14:textId="2DAB7A24" w:rsidR="00BC5B9C" w:rsidRPr="00B75EF8" w:rsidRDefault="00061BC8" w:rsidP="00A209D6">
            <w:pPr>
              <w:rPr>
                <w:lang w:eastAsia="ja-JP"/>
              </w:rPr>
            </w:pPr>
            <w:r>
              <w:rPr>
                <w:rFonts w:hint="eastAsia"/>
                <w:lang w:eastAsia="ja-JP"/>
              </w:rPr>
              <w:t xml:space="preserve">Option </w:t>
            </w:r>
            <w:r>
              <w:rPr>
                <w:lang w:eastAsia="ja-JP"/>
              </w:rPr>
              <w:t>5; It is enough to rely on NW implementation, given that the number of problematic cases is limited.</w:t>
            </w:r>
          </w:p>
        </w:tc>
      </w:tr>
      <w:tr w:rsidR="00BC5B9C" w14:paraId="662E1029" w14:textId="77777777" w:rsidTr="00BC5B9C">
        <w:tc>
          <w:tcPr>
            <w:tcW w:w="3256" w:type="dxa"/>
          </w:tcPr>
          <w:p w14:paraId="03A1F369" w14:textId="5A33A78F" w:rsidR="00BC5B9C" w:rsidRPr="00D860E3" w:rsidRDefault="00D860E3" w:rsidP="00A209D6">
            <w:pPr>
              <w:rPr>
                <w:b/>
              </w:rPr>
            </w:pPr>
            <w:r>
              <w:rPr>
                <w:rFonts w:eastAsia="SimSun" w:hint="eastAsia"/>
                <w:b/>
                <w:lang w:eastAsia="zh-CN"/>
              </w:rPr>
              <w:t>Huawei</w:t>
            </w:r>
          </w:p>
        </w:tc>
        <w:tc>
          <w:tcPr>
            <w:tcW w:w="6375" w:type="dxa"/>
          </w:tcPr>
          <w:p w14:paraId="07CF48C2" w14:textId="2DA365BB" w:rsidR="00D860E3" w:rsidRDefault="00D860E3" w:rsidP="00D860E3">
            <w:pPr>
              <w:rPr>
                <w:rFonts w:eastAsia="SimSun"/>
                <w:lang w:eastAsia="zh-CN"/>
              </w:rPr>
            </w:pPr>
            <w:r>
              <w:rPr>
                <w:rFonts w:eastAsia="SimSun" w:hint="eastAsia"/>
                <w:lang w:eastAsia="zh-CN"/>
              </w:rPr>
              <w:t>As far as we understood, RAN4</w:t>
            </w:r>
            <w:r>
              <w:rPr>
                <w:rFonts w:eastAsia="SimSun"/>
                <w:lang w:eastAsia="zh-CN"/>
              </w:rPr>
              <w:t xml:space="preserve"> in October meeting has not concluded whether to accept this change or not as they were not aware the potential impact on RAN2. Option 1-3 are not backward compatible, and Option 4 is backward compatible from signalling point of view but this does not solve the problem for legacy UEs. </w:t>
            </w:r>
          </w:p>
          <w:p w14:paraId="7703C1C8" w14:textId="59F4D95B" w:rsidR="00BC5B9C" w:rsidRPr="00D860E3" w:rsidRDefault="00D860E3" w:rsidP="007752E7">
            <w:r>
              <w:rPr>
                <w:rFonts w:eastAsia="SimSun"/>
                <w:lang w:eastAsia="zh-CN"/>
              </w:rPr>
              <w:t xml:space="preserve">We </w:t>
            </w:r>
            <w:r w:rsidR="007752E7">
              <w:rPr>
                <w:rFonts w:eastAsia="SimSun"/>
                <w:lang w:eastAsia="zh-CN"/>
              </w:rPr>
              <w:t>suggest</w:t>
            </w:r>
            <w:r>
              <w:rPr>
                <w:rFonts w:eastAsia="SimSun"/>
                <w:lang w:eastAsia="zh-CN"/>
              </w:rPr>
              <w:t xml:space="preserve"> RAN2 </w:t>
            </w:r>
            <w:r w:rsidR="007752E7">
              <w:rPr>
                <w:rFonts w:eastAsia="SimSun"/>
                <w:lang w:eastAsia="zh-CN"/>
              </w:rPr>
              <w:t>s</w:t>
            </w:r>
            <w:r>
              <w:rPr>
                <w:rFonts w:eastAsia="SimSun"/>
                <w:lang w:eastAsia="zh-CN"/>
              </w:rPr>
              <w:t>end</w:t>
            </w:r>
            <w:r w:rsidR="007752E7">
              <w:rPr>
                <w:rFonts w:eastAsia="SimSun"/>
                <w:lang w:eastAsia="zh-CN"/>
              </w:rPr>
              <w:t>s</w:t>
            </w:r>
            <w:r>
              <w:rPr>
                <w:rFonts w:eastAsia="SimSun"/>
                <w:lang w:eastAsia="zh-CN"/>
              </w:rPr>
              <w:t xml:space="preserve"> LS to RAN4 telling them that this change would lead to non-backward compatible modification from RAN2, which is not the way we are chasing after. If RAN4 receives this information and still wants to keep the previous agreement, we can discuss further either Option 4 or Option 5.</w:t>
            </w:r>
          </w:p>
        </w:tc>
      </w:tr>
      <w:tr w:rsidR="002C01D6" w14:paraId="1E1A2361" w14:textId="77777777" w:rsidTr="00BC5B9C">
        <w:tc>
          <w:tcPr>
            <w:tcW w:w="3256" w:type="dxa"/>
          </w:tcPr>
          <w:p w14:paraId="102EF480" w14:textId="5F95E071" w:rsidR="002C01D6" w:rsidRDefault="002C01D6" w:rsidP="00A209D6">
            <w:pPr>
              <w:rPr>
                <w:b/>
              </w:rPr>
            </w:pPr>
            <w:r>
              <w:rPr>
                <w:b/>
              </w:rPr>
              <w:lastRenderedPageBreak/>
              <w:t>Apple</w:t>
            </w:r>
          </w:p>
        </w:tc>
        <w:tc>
          <w:tcPr>
            <w:tcW w:w="6375" w:type="dxa"/>
          </w:tcPr>
          <w:p w14:paraId="12637905" w14:textId="77777777" w:rsidR="002C01D6" w:rsidRDefault="002C01D6" w:rsidP="00DB594B">
            <w:r>
              <w:t>At this moment, our preference is Option 3 as it is simple to implement and there is limited or no impact to the UE capability container. But more info is needed for all options.</w:t>
            </w:r>
          </w:p>
          <w:p w14:paraId="0D266B84" w14:textId="70BF03D2" w:rsidR="002C01D6" w:rsidRDefault="002C01D6" w:rsidP="00DB594B">
            <w:pPr>
              <w:spacing w:after="0"/>
            </w:pPr>
            <w:r>
              <w:t>Regarding Option 1, from TS36.331, we think the spec does not require UE to report the non-supported fallback band combinations (incapability indication). Instead, what the spec do enable is to let UE report the fallback band combinations with different capabilities.  Clarification from the rapporteur is greatly appreciated</w:t>
            </w:r>
            <w:r w:rsidR="007E6E3A">
              <w:t>, s</w:t>
            </w:r>
            <w:r>
              <w:t>ince each contiguous/non-contiguous combination can have up to 50 fallbacks which might not be supported, signalling the non-supported fallbacks would increase the amount of fallbacks significantly.</w:t>
            </w:r>
          </w:p>
          <w:p w14:paraId="15F7715C" w14:textId="77777777" w:rsidR="002C01D6" w:rsidRDefault="002C01D6" w:rsidP="00DB594B">
            <w:pPr>
              <w:spacing w:after="0"/>
            </w:pPr>
          </w:p>
          <w:p w14:paraId="50C4980F" w14:textId="6B028539" w:rsidR="002C01D6" w:rsidRDefault="002C01D6" w:rsidP="00DB594B">
            <w:pPr>
              <w:spacing w:after="0"/>
            </w:pPr>
            <w:r>
              <w:t>Option 2: Since each contiguous/non-contiguous combination can have up to 50 fallbacks most of which may not be supported, signalling the non-supported fallbacks would increase the amount of fallbacks significantly compared to signalling the supported fallbacks.</w:t>
            </w:r>
          </w:p>
          <w:p w14:paraId="210A55C9" w14:textId="77777777" w:rsidR="002C01D6" w:rsidRDefault="002C01D6" w:rsidP="00DB594B">
            <w:pPr>
              <w:spacing w:after="0"/>
            </w:pPr>
          </w:p>
          <w:p w14:paraId="2489CDCC" w14:textId="77777777" w:rsidR="002C01D6" w:rsidRDefault="002C01D6" w:rsidP="00DB594B">
            <w:pPr>
              <w:spacing w:after="0"/>
            </w:pPr>
            <w:r>
              <w:t>For Option 3, it’s not crystal clear what it is and how it is used. It could be interpreted into: 1) One bit indicating UE does not support all the fallback band combination; or 2) UE to report explicitly all the supported CA band combination for one band combination. More clarification is required from the rapporteur. Our preference would be interpretation 1) that the UE can signal for each band combination that it supports all fallbacks (bit=0 or non-existent) or it doesn’t support all fallbacks (bit=0) and supported fallbacks need to be signaled separately. Since it is expected that for the combinations of contiguous and non-contiguous CA there will be much more unsupported fallbacks than supported, this will result in a moderate increase of signalling.</w:t>
            </w:r>
          </w:p>
          <w:p w14:paraId="55A8D36A" w14:textId="77777777" w:rsidR="002C01D6" w:rsidRDefault="002C01D6" w:rsidP="00DB594B">
            <w:pPr>
              <w:spacing w:after="0"/>
            </w:pPr>
          </w:p>
          <w:p w14:paraId="746692C9" w14:textId="48C36E36" w:rsidR="002C01D6" w:rsidRPr="00B75EF8" w:rsidRDefault="002C01D6" w:rsidP="00A209D6">
            <w:r>
              <w:t>For Option 4, since the current CA bandwidth class is for one single subblock (i.e., contiguous CA), how to explore it to non-contiguous CA is not clear. More elaboration on the details is expected.</w:t>
            </w:r>
          </w:p>
        </w:tc>
      </w:tr>
      <w:tr w:rsidR="002C01D6" w14:paraId="6FE58BC9" w14:textId="77777777" w:rsidTr="00BC5B9C">
        <w:tc>
          <w:tcPr>
            <w:tcW w:w="3256" w:type="dxa"/>
          </w:tcPr>
          <w:p w14:paraId="6BCC0B8A" w14:textId="2793D3CC" w:rsidR="002C01D6" w:rsidRPr="00692A5A" w:rsidRDefault="00123D37" w:rsidP="00A209D6">
            <w:pPr>
              <w:rPr>
                <w:rFonts w:eastAsia="SimSun"/>
                <w:b/>
                <w:lang w:eastAsia="zh-CN"/>
              </w:rPr>
            </w:pPr>
            <w:r>
              <w:rPr>
                <w:rFonts w:eastAsia="SimSun" w:hint="eastAsia"/>
                <w:b/>
                <w:lang w:eastAsia="zh-CN"/>
              </w:rPr>
              <w:t>O</w:t>
            </w:r>
            <w:r>
              <w:rPr>
                <w:rFonts w:eastAsia="SimSun"/>
                <w:b/>
                <w:lang w:eastAsia="zh-CN"/>
              </w:rPr>
              <w:t>PPO</w:t>
            </w:r>
          </w:p>
        </w:tc>
        <w:tc>
          <w:tcPr>
            <w:tcW w:w="6375" w:type="dxa"/>
          </w:tcPr>
          <w:p w14:paraId="58AA7EE5" w14:textId="77777777" w:rsidR="002C01D6" w:rsidRDefault="00123D37" w:rsidP="00A209D6">
            <w:pPr>
              <w:rPr>
                <w:rFonts w:eastAsia="SimSun"/>
                <w:lang w:eastAsia="zh-CN"/>
              </w:rPr>
            </w:pPr>
            <w:r>
              <w:rPr>
                <w:rFonts w:eastAsia="SimSun" w:hint="eastAsia"/>
                <w:lang w:eastAsia="zh-CN"/>
              </w:rPr>
              <w:t>For the listed op</w:t>
            </w:r>
            <w:r>
              <w:rPr>
                <w:rFonts w:eastAsia="SimSun"/>
                <w:lang w:eastAsia="zh-CN"/>
              </w:rPr>
              <w:t>tions, we share the same view from Huawei that non-backwards compatible solutions have to be avoided (and as commented by Apple, some further clarification on option-3 would be helpful).</w:t>
            </w:r>
          </w:p>
          <w:p w14:paraId="060F40FA" w14:textId="1D757918" w:rsidR="00123D37" w:rsidRDefault="00123D37" w:rsidP="00A209D6">
            <w:pPr>
              <w:rPr>
                <w:rFonts w:eastAsia="SimSun"/>
                <w:lang w:eastAsia="zh-CN"/>
              </w:rPr>
            </w:pPr>
            <w:r>
              <w:rPr>
                <w:rFonts w:eastAsia="SimSun"/>
                <w:lang w:eastAsia="zh-CN"/>
              </w:rPr>
              <w:t xml:space="preserve">For option-4, </w:t>
            </w:r>
            <w:r w:rsidR="00950630">
              <w:rPr>
                <w:rFonts w:eastAsia="SimSun"/>
                <w:lang w:eastAsia="zh-CN"/>
              </w:rPr>
              <w:t xml:space="preserve">it seems </w:t>
            </w:r>
            <w:r w:rsidR="006A1F30">
              <w:rPr>
                <w:rFonts w:eastAsia="SimSun"/>
                <w:lang w:eastAsia="zh-CN"/>
              </w:rPr>
              <w:t xml:space="preserve">helpful in terms of backwards compatibility, yet since </w:t>
            </w:r>
            <w:r w:rsidR="00F564A0">
              <w:rPr>
                <w:rFonts w:eastAsia="SimSun"/>
                <w:lang w:eastAsia="zh-CN"/>
              </w:rPr>
              <w:t>some</w:t>
            </w:r>
            <w:r w:rsidR="006A1F30">
              <w:rPr>
                <w:rFonts w:eastAsia="SimSun"/>
                <w:lang w:eastAsia="zh-CN"/>
              </w:rPr>
              <w:t xml:space="preserve"> </w:t>
            </w:r>
            <w:r w:rsidR="00F564A0">
              <w:rPr>
                <w:rFonts w:eastAsia="SimSun"/>
                <w:lang w:eastAsia="zh-CN"/>
              </w:rPr>
              <w:t>further refinement</w:t>
            </w:r>
            <w:r w:rsidR="006A1F30">
              <w:rPr>
                <w:rFonts w:eastAsia="SimSun"/>
                <w:lang w:eastAsia="zh-CN"/>
              </w:rPr>
              <w:t xml:space="preserve"> may be needed, e.g., </w:t>
            </w:r>
            <w:r w:rsidR="00022AAF">
              <w:rPr>
                <w:rFonts w:eastAsia="SimSun"/>
                <w:lang w:eastAsia="zh-CN"/>
              </w:rPr>
              <w:t>RAN4 has already define the fall group restriction for each bandwidth class</w:t>
            </w:r>
            <w:r w:rsidR="001F14B3">
              <w:rPr>
                <w:rFonts w:eastAsia="SimSun"/>
                <w:lang w:eastAsia="zh-CN"/>
              </w:rPr>
              <w:t>, so the relationship between the fall back group and fall back bandwidth class has to be clarified. And finally, it would be in RAN4 scope, and should be up to RAN4 to decide.</w:t>
            </w:r>
          </w:p>
          <w:p w14:paraId="701982D3" w14:textId="77777777" w:rsidR="003D21B2" w:rsidRDefault="003D21B2" w:rsidP="00E4754D">
            <w:pPr>
              <w:rPr>
                <w:rFonts w:eastAsia="SimSun"/>
                <w:lang w:eastAsia="zh-CN"/>
              </w:rPr>
            </w:pPr>
            <w:r>
              <w:rPr>
                <w:rFonts w:eastAsia="SimSun"/>
                <w:lang w:eastAsia="zh-CN"/>
              </w:rPr>
              <w:t>For option-5</w:t>
            </w:r>
            <w:r w:rsidR="00E96D4A">
              <w:rPr>
                <w:rFonts w:eastAsia="SimSun"/>
                <w:lang w:eastAsia="zh-CN"/>
              </w:rPr>
              <w:t xml:space="preserve"> can be </w:t>
            </w:r>
            <w:r w:rsidR="00E4754D">
              <w:rPr>
                <w:rFonts w:eastAsia="SimSun"/>
                <w:lang w:eastAsia="zh-CN"/>
              </w:rPr>
              <w:t>helpful in terms of legacy UE support, yet it would be more future proof to have a specified solution, targeting at R16 or later.</w:t>
            </w:r>
          </w:p>
          <w:p w14:paraId="0DE39C08" w14:textId="5435E44F" w:rsidR="00F16978" w:rsidRPr="00692A5A" w:rsidRDefault="00F16978" w:rsidP="00E4754D">
            <w:pPr>
              <w:rPr>
                <w:rFonts w:eastAsia="SimSun"/>
                <w:lang w:eastAsia="zh-CN"/>
              </w:rPr>
            </w:pPr>
            <w:r>
              <w:rPr>
                <w:rFonts w:eastAsia="SimSun"/>
                <w:lang w:eastAsia="zh-CN"/>
              </w:rPr>
              <w:t>In short, we tend to share the view from Huawei that a LS to RAN4 to clarify the non-backwards compatibility issue would be the best way at the current stage.</w:t>
            </w:r>
          </w:p>
        </w:tc>
      </w:tr>
      <w:tr w:rsidR="00583E8A" w:rsidRPr="00B75EF8" w14:paraId="349CE8E4" w14:textId="77777777" w:rsidTr="00583E8A">
        <w:tc>
          <w:tcPr>
            <w:tcW w:w="3256" w:type="dxa"/>
          </w:tcPr>
          <w:p w14:paraId="1034FCE1" w14:textId="77777777" w:rsidR="00583E8A" w:rsidRDefault="00583E8A" w:rsidP="00C1285B">
            <w:pPr>
              <w:rPr>
                <w:b/>
              </w:rPr>
            </w:pPr>
            <w:r>
              <w:rPr>
                <w:b/>
              </w:rPr>
              <w:t>Ericsson</w:t>
            </w:r>
          </w:p>
        </w:tc>
        <w:tc>
          <w:tcPr>
            <w:tcW w:w="6375" w:type="dxa"/>
          </w:tcPr>
          <w:p w14:paraId="5BD5F7AA" w14:textId="77777777" w:rsidR="00583E8A" w:rsidRDefault="00583E8A" w:rsidP="00C1285B">
            <w:r w:rsidRPr="00F410BF">
              <w:rPr>
                <w:b/>
              </w:rPr>
              <w:t>None of the options</w:t>
            </w:r>
            <w:r>
              <w:t xml:space="preserve">. Options 1, 2, 3 and 5 are not backwards compatible since a NW that does not implement the new functionality would not comprehend that the UE does not support the fallback combinations. </w:t>
            </w:r>
          </w:p>
          <w:p w14:paraId="3A8B09E1" w14:textId="77777777" w:rsidR="00583E8A" w:rsidRDefault="00583E8A" w:rsidP="00C1285B">
            <w:r>
              <w:t xml:space="preserve">Option 4 would be backwards compatible but it will lead to a </w:t>
            </w:r>
            <w:r w:rsidRPr="00F410BF">
              <w:rPr>
                <w:b/>
              </w:rPr>
              <w:t>significant increase of the capability size</w:t>
            </w:r>
            <w:r>
              <w:t xml:space="preserve"> since UEs would have to report fallbacks that they support explicitly. In other words, it reintroduces the problems of the initial LTE Rel-10 signalling. Besides that it requires </w:t>
            </w:r>
            <w:r w:rsidRPr="00F410BF">
              <w:rPr>
                <w:b/>
              </w:rPr>
              <w:t>significant changes to the capability evaluation implementation</w:t>
            </w:r>
            <w:r>
              <w:t xml:space="preserve"> of the NW and</w:t>
            </w:r>
          </w:p>
          <w:p w14:paraId="0306BD68" w14:textId="77777777" w:rsidR="00583E8A" w:rsidRPr="00B75EF8" w:rsidRDefault="00583E8A" w:rsidP="00C1285B">
            <w:r>
              <w:t xml:space="preserve">We agree with Huawei that the real need for such addition functionality is again discussed in RAN4 since the became aware of the non-trivial signalling impact and implementation complexity on UE and NW side. We </w:t>
            </w:r>
            <w:r>
              <w:lastRenderedPageBreak/>
              <w:t xml:space="preserve">also agree with the proposal to return an LS that describes briefly the RAN2 impact in terms of complexity and signalling overhead and preferably urge RAN4 not to pursue this direction. </w:t>
            </w:r>
          </w:p>
        </w:tc>
      </w:tr>
    </w:tbl>
    <w:p w14:paraId="55BA30C2" w14:textId="123C5924" w:rsidR="00060F5A" w:rsidRDefault="00060F5A" w:rsidP="00A209D6">
      <w:pPr>
        <w:rPr>
          <w:b/>
        </w:rPr>
      </w:pPr>
    </w:p>
    <w:p w14:paraId="47312173" w14:textId="713C3A54" w:rsidR="00556B18" w:rsidRDefault="00556B18" w:rsidP="00A209D6">
      <w:r w:rsidRPr="00556B18">
        <w:t>The next</w:t>
      </w:r>
      <w:r>
        <w:t xml:space="preserve"> (and probably more important question) is from which release the changes are applicable. At least based on the understanding that </w:t>
      </w:r>
      <w:r w:rsidRPr="00556B18">
        <w:t>Apple</w:t>
      </w:r>
      <w:r>
        <w:t xml:space="preserve"> provided during the meeting, the thinking is that</w:t>
      </w:r>
      <w:r w:rsidRPr="00556B18">
        <w:t xml:space="preserve"> the non-backwards compatibility is not an issue as the issue relates to band combinations not yet in the field.</w:t>
      </w:r>
      <w:r>
        <w:t xml:space="preserve"> Also, RAN4 band combination definitions are release-independent, so it would be good to consider Rel-15 as the starting point. However, it must be conceded that fixing something in Rel-15 at such a late stage as companies [1] also challenged if the problem necessitates an essential correction. Hence, another option would be to consider Rel-16 as the initial release.</w:t>
      </w:r>
    </w:p>
    <w:p w14:paraId="4D7659D4" w14:textId="7FC94D7B" w:rsidR="00AC244F" w:rsidRDefault="00AC244F" w:rsidP="00AC244F">
      <w:pPr>
        <w:rPr>
          <w:b/>
        </w:rPr>
      </w:pPr>
      <w:r w:rsidRPr="00235EEE">
        <w:rPr>
          <w:b/>
        </w:rPr>
        <w:t>Q</w:t>
      </w:r>
      <w:r>
        <w:rPr>
          <w:b/>
        </w:rPr>
        <w:t>2</w:t>
      </w:r>
      <w:r w:rsidRPr="00235EEE">
        <w:rPr>
          <w:b/>
        </w:rPr>
        <w:t xml:space="preserve">: </w:t>
      </w:r>
      <w:r>
        <w:rPr>
          <w:b/>
        </w:rPr>
        <w:t xml:space="preserve">Which release would be suitable for companies to consider? </w:t>
      </w:r>
    </w:p>
    <w:tbl>
      <w:tblPr>
        <w:tblStyle w:val="TableGrid"/>
        <w:tblW w:w="0" w:type="auto"/>
        <w:tblLook w:val="04A0" w:firstRow="1" w:lastRow="0" w:firstColumn="1" w:lastColumn="0" w:noHBand="0" w:noVBand="1"/>
      </w:tblPr>
      <w:tblGrid>
        <w:gridCol w:w="3256"/>
        <w:gridCol w:w="6375"/>
      </w:tblGrid>
      <w:tr w:rsidR="00AC244F" w14:paraId="2944C439" w14:textId="77777777" w:rsidTr="003D78F5">
        <w:tc>
          <w:tcPr>
            <w:tcW w:w="3256" w:type="dxa"/>
          </w:tcPr>
          <w:p w14:paraId="506104B6" w14:textId="77777777" w:rsidR="00AC244F" w:rsidRPr="00B75EF8" w:rsidRDefault="00AC244F" w:rsidP="003D78F5">
            <w:pPr>
              <w:jc w:val="center"/>
              <w:rPr>
                <w:b/>
              </w:rPr>
            </w:pPr>
            <w:r w:rsidRPr="00B75EF8">
              <w:rPr>
                <w:b/>
              </w:rPr>
              <w:t>Company</w:t>
            </w:r>
          </w:p>
        </w:tc>
        <w:tc>
          <w:tcPr>
            <w:tcW w:w="6375" w:type="dxa"/>
          </w:tcPr>
          <w:p w14:paraId="34FEAD22" w14:textId="3374425F" w:rsidR="00AC244F" w:rsidRPr="00B75EF8" w:rsidRDefault="00AC244F" w:rsidP="003D78F5">
            <w:pPr>
              <w:jc w:val="center"/>
              <w:rPr>
                <w:b/>
              </w:rPr>
            </w:pPr>
            <w:r>
              <w:rPr>
                <w:b/>
              </w:rPr>
              <w:t>Rel-15 or Rel-16</w:t>
            </w:r>
          </w:p>
        </w:tc>
      </w:tr>
      <w:tr w:rsidR="00AC244F" w14:paraId="75ED58B2" w14:textId="77777777" w:rsidTr="003D78F5">
        <w:tc>
          <w:tcPr>
            <w:tcW w:w="3256" w:type="dxa"/>
          </w:tcPr>
          <w:p w14:paraId="4E289480" w14:textId="77777777" w:rsidR="00AC244F" w:rsidRDefault="00AC244F" w:rsidP="003D78F5">
            <w:pPr>
              <w:jc w:val="center"/>
              <w:rPr>
                <w:b/>
              </w:rPr>
            </w:pPr>
            <w:r>
              <w:rPr>
                <w:b/>
              </w:rPr>
              <w:t>Nokia</w:t>
            </w:r>
          </w:p>
        </w:tc>
        <w:tc>
          <w:tcPr>
            <w:tcW w:w="6375" w:type="dxa"/>
          </w:tcPr>
          <w:p w14:paraId="05D5CB85" w14:textId="535FC96B" w:rsidR="00AC244F" w:rsidRPr="00B75EF8" w:rsidRDefault="00AC244F" w:rsidP="003D78F5">
            <w:r>
              <w:t>Rel-</w:t>
            </w:r>
            <w:r w:rsidR="0015683E">
              <w:t>16</w:t>
            </w:r>
            <w:r w:rsidR="00BC16E1">
              <w:t xml:space="preserve"> as we think the </w:t>
            </w:r>
            <w:r w:rsidR="00887D31">
              <w:t>correction</w:t>
            </w:r>
            <w:r w:rsidR="00BC16E1">
              <w:t xml:space="preserve"> is not fully essential (though a valid and practical problem for FR2 cases).</w:t>
            </w:r>
          </w:p>
        </w:tc>
      </w:tr>
      <w:tr w:rsidR="00AC244F" w14:paraId="7E93A167" w14:textId="77777777" w:rsidTr="003D78F5">
        <w:tc>
          <w:tcPr>
            <w:tcW w:w="3256" w:type="dxa"/>
          </w:tcPr>
          <w:p w14:paraId="2D70AB63" w14:textId="7D1D4E72" w:rsidR="00AC244F" w:rsidRPr="000F56E5" w:rsidRDefault="000F56E5" w:rsidP="003D78F5">
            <w:pPr>
              <w:rPr>
                <w:rFonts w:eastAsia="SimSun"/>
                <w:b/>
                <w:lang w:eastAsia="zh-CN"/>
              </w:rPr>
            </w:pPr>
            <w:r>
              <w:rPr>
                <w:rFonts w:eastAsia="SimSun" w:hint="eastAsia"/>
                <w:b/>
                <w:lang w:eastAsia="zh-CN"/>
              </w:rPr>
              <w:t>Huawei</w:t>
            </w:r>
          </w:p>
        </w:tc>
        <w:tc>
          <w:tcPr>
            <w:tcW w:w="6375" w:type="dxa"/>
          </w:tcPr>
          <w:p w14:paraId="566BBF38" w14:textId="423CE59C" w:rsidR="00AC244F" w:rsidRPr="000F56E5" w:rsidRDefault="000F56E5" w:rsidP="003D78F5">
            <w:pPr>
              <w:rPr>
                <w:rFonts w:eastAsia="SimSun"/>
                <w:lang w:eastAsia="zh-CN"/>
              </w:rPr>
            </w:pPr>
            <w:r>
              <w:rPr>
                <w:rFonts w:eastAsia="SimSun"/>
                <w:lang w:eastAsia="zh-CN"/>
              </w:rPr>
              <w:t>I</w:t>
            </w:r>
            <w:r>
              <w:rPr>
                <w:rFonts w:eastAsia="SimSun" w:hint="eastAsia"/>
                <w:lang w:eastAsia="zh-CN"/>
              </w:rPr>
              <w:t xml:space="preserve">t </w:t>
            </w:r>
            <w:r>
              <w:rPr>
                <w:rFonts w:eastAsia="SimSun"/>
                <w:lang w:eastAsia="zh-CN"/>
              </w:rPr>
              <w:t xml:space="preserve">depends on the above discussion. Note that this is not only impacting FR2-only CA case, this impacts also the CA case including FR2, e.g. FR1+FR2 CA. We think the potential impact is big and we should be careful on introducing potential changes. </w:t>
            </w:r>
          </w:p>
        </w:tc>
      </w:tr>
      <w:tr w:rsidR="00AC244F" w14:paraId="3CA0EA00" w14:textId="77777777" w:rsidTr="003D78F5">
        <w:tc>
          <w:tcPr>
            <w:tcW w:w="3256" w:type="dxa"/>
          </w:tcPr>
          <w:p w14:paraId="00A3F95D" w14:textId="5ABDD850" w:rsidR="00AC244F" w:rsidRDefault="007E6E3A" w:rsidP="003D78F5">
            <w:pPr>
              <w:rPr>
                <w:b/>
              </w:rPr>
            </w:pPr>
            <w:r>
              <w:rPr>
                <w:b/>
              </w:rPr>
              <w:t>Apple</w:t>
            </w:r>
          </w:p>
        </w:tc>
        <w:tc>
          <w:tcPr>
            <w:tcW w:w="6375" w:type="dxa"/>
          </w:tcPr>
          <w:p w14:paraId="2DA20B86" w14:textId="6CB2EF4E" w:rsidR="00AC244F" w:rsidRPr="00B75EF8" w:rsidRDefault="007E6E3A" w:rsidP="003D78F5">
            <w:r>
              <w:t>We prefer to have this in Rel-15 since the FR2 CA is not yet implemented in the field, and the previously agreed RAN4 CR is also from Rel-15.</w:t>
            </w:r>
          </w:p>
        </w:tc>
      </w:tr>
      <w:tr w:rsidR="00AC244F" w14:paraId="43B7FBD2" w14:textId="77777777" w:rsidTr="003D78F5">
        <w:tc>
          <w:tcPr>
            <w:tcW w:w="3256" w:type="dxa"/>
          </w:tcPr>
          <w:p w14:paraId="043DCA92" w14:textId="3C71C4F6" w:rsidR="00AC244F" w:rsidRPr="00692A5A" w:rsidRDefault="00E4754D" w:rsidP="003D78F5">
            <w:pPr>
              <w:rPr>
                <w:rFonts w:eastAsia="SimSun"/>
                <w:b/>
                <w:lang w:eastAsia="zh-CN"/>
              </w:rPr>
            </w:pPr>
            <w:r>
              <w:rPr>
                <w:rFonts w:eastAsia="SimSun" w:hint="eastAsia"/>
                <w:b/>
                <w:lang w:eastAsia="zh-CN"/>
              </w:rPr>
              <w:t>OPPO</w:t>
            </w:r>
          </w:p>
        </w:tc>
        <w:tc>
          <w:tcPr>
            <w:tcW w:w="6375" w:type="dxa"/>
          </w:tcPr>
          <w:p w14:paraId="519106A0" w14:textId="75559A9E" w:rsidR="00AC244F" w:rsidRPr="00692A5A" w:rsidRDefault="00E4754D" w:rsidP="003D78F5">
            <w:pPr>
              <w:rPr>
                <w:rFonts w:eastAsia="SimSun"/>
                <w:lang w:eastAsia="zh-CN"/>
              </w:rPr>
            </w:pPr>
            <w:r>
              <w:rPr>
                <w:rFonts w:eastAsia="SimSun" w:hint="eastAsia"/>
                <w:lang w:eastAsia="zh-CN"/>
              </w:rPr>
              <w:t>Share the v</w:t>
            </w:r>
            <w:r>
              <w:rPr>
                <w:rFonts w:eastAsia="SimSun"/>
                <w:lang w:eastAsia="zh-CN"/>
              </w:rPr>
              <w:t>iew from Nokia (although this problem is valid even for FR1 + FR2 CA, the key problem is on FR2 part)</w:t>
            </w:r>
            <w:r w:rsidR="00F16978">
              <w:rPr>
                <w:rFonts w:eastAsia="SimSun"/>
                <w:lang w:eastAsia="zh-CN"/>
              </w:rPr>
              <w:t>, so impact to Rel-15 should be avoided.</w:t>
            </w:r>
          </w:p>
        </w:tc>
      </w:tr>
      <w:tr w:rsidR="00583E8A" w14:paraId="0E718CCD" w14:textId="77777777" w:rsidTr="003D78F5">
        <w:tc>
          <w:tcPr>
            <w:tcW w:w="3256" w:type="dxa"/>
          </w:tcPr>
          <w:p w14:paraId="04447D03" w14:textId="5B173D93" w:rsidR="00583E8A" w:rsidRDefault="00583E8A" w:rsidP="00583E8A">
            <w:pPr>
              <w:rPr>
                <w:b/>
              </w:rPr>
            </w:pPr>
            <w:r>
              <w:rPr>
                <w:b/>
              </w:rPr>
              <w:t>Ericsson</w:t>
            </w:r>
          </w:p>
        </w:tc>
        <w:tc>
          <w:tcPr>
            <w:tcW w:w="6375" w:type="dxa"/>
          </w:tcPr>
          <w:p w14:paraId="527C87C6" w14:textId="25A21136" w:rsidR="00583E8A" w:rsidRPr="00B75EF8" w:rsidRDefault="00583E8A" w:rsidP="00583E8A">
            <w:r w:rsidRPr="00373FA6">
              <w:rPr>
                <w:b/>
              </w:rPr>
              <w:t>None</w:t>
            </w:r>
            <w:r>
              <w:t>, as it causes significant increase of UE capability size specifically of FR2 where the capabilities messages are anyway already large. Omitting and still supporting all fallback band combinations was one of the few changes compared to LTE that helped to reduce the size of the signalling and the processing for generating and parsing the capabilities significantly (By orders of magnitude for e.g. 8CC).</w:t>
            </w:r>
          </w:p>
        </w:tc>
      </w:tr>
    </w:tbl>
    <w:p w14:paraId="378A3DEC" w14:textId="77777777" w:rsidR="00AC244F" w:rsidRDefault="00AC244F" w:rsidP="00A209D6"/>
    <w:p w14:paraId="766D6D29" w14:textId="47D6808D" w:rsidR="00484A46" w:rsidRPr="006E13D1" w:rsidRDefault="00A209D6" w:rsidP="00484A46">
      <w:pPr>
        <w:pStyle w:val="Heading1"/>
      </w:pPr>
      <w:r w:rsidRPr="006E13D1">
        <w:t>3</w:t>
      </w:r>
      <w:r w:rsidRPr="006E13D1">
        <w:tab/>
      </w:r>
      <w:r w:rsidR="00484A46">
        <w:t>Summary</w:t>
      </w:r>
    </w:p>
    <w:p w14:paraId="2D318619" w14:textId="6A003F5F" w:rsidR="00A209D6" w:rsidRDefault="00692A5A" w:rsidP="00082D48">
      <w:pPr>
        <w:pStyle w:val="TF"/>
        <w:jc w:val="left"/>
        <w:rPr>
          <w:b w:val="0"/>
        </w:rPr>
      </w:pPr>
      <w:r>
        <w:rPr>
          <w:b w:val="0"/>
        </w:rPr>
        <w:t>Thanks to all the companies participating in the email discussion and providing their views. There is no clear winner from the list of options. However, the following emerges as guiding principles for continuing the work forward:</w:t>
      </w:r>
    </w:p>
    <w:p w14:paraId="268C1F6B" w14:textId="11B945FA" w:rsidR="00692A5A" w:rsidRDefault="00692A5A" w:rsidP="00082D48">
      <w:pPr>
        <w:pStyle w:val="TF"/>
        <w:jc w:val="left"/>
      </w:pPr>
      <w:r w:rsidRPr="00692A5A">
        <w:t xml:space="preserve">Proposal 1: </w:t>
      </w:r>
      <w:r w:rsidR="00B766C1">
        <w:t xml:space="preserve">RAN2 </w:t>
      </w:r>
      <w:r w:rsidR="008B15C6">
        <w:t>would aim to find a solution</w:t>
      </w:r>
      <w:r w:rsidRPr="00692A5A">
        <w:t xml:space="preserve"> </w:t>
      </w:r>
      <w:r w:rsidR="008B15C6">
        <w:t>for the</w:t>
      </w:r>
      <w:r w:rsidRPr="00692A5A">
        <w:t xml:space="preserve"> </w:t>
      </w:r>
      <w:r w:rsidR="008B15C6">
        <w:t>“</w:t>
      </w:r>
      <w:r w:rsidRPr="00692A5A">
        <w:t xml:space="preserve">FR2 fallbacks for multiple sub-blocks </w:t>
      </w:r>
      <w:r w:rsidR="008B15C6">
        <w:t xml:space="preserve">capability” </w:t>
      </w:r>
      <w:r w:rsidRPr="00692A5A">
        <w:t>has a low impact to the UE capability signalling container sizes (Option 3, 4 and 5 seem to fit here</w:t>
      </w:r>
      <w:r w:rsidR="000A3ACD">
        <w:t>, exact details still pending for discussion</w:t>
      </w:r>
      <w:r w:rsidRPr="00692A5A">
        <w:t>).</w:t>
      </w:r>
    </w:p>
    <w:p w14:paraId="1E391B2F" w14:textId="6D88677A" w:rsidR="007F51E3" w:rsidRDefault="00692A5A" w:rsidP="00082D48">
      <w:pPr>
        <w:pStyle w:val="TF"/>
        <w:jc w:val="left"/>
      </w:pPr>
      <w:r>
        <w:t xml:space="preserve">Proposal </w:t>
      </w:r>
      <w:r w:rsidR="00762D26">
        <w:t>2</w:t>
      </w:r>
      <w:r>
        <w:t xml:space="preserve">: Send LS to RAN4 indicating </w:t>
      </w:r>
    </w:p>
    <w:p w14:paraId="16FEB6AD" w14:textId="1DFCBC47" w:rsidR="00692A5A" w:rsidRDefault="007F51E3" w:rsidP="007F51E3">
      <w:pPr>
        <w:pStyle w:val="TF"/>
        <w:numPr>
          <w:ilvl w:val="0"/>
          <w:numId w:val="9"/>
        </w:numPr>
        <w:jc w:val="left"/>
      </w:pPr>
      <w:r>
        <w:t>Solutions which are BC/non-BC (including Option 5)</w:t>
      </w:r>
    </w:p>
    <w:p w14:paraId="716DE79D" w14:textId="11E1D9F2" w:rsidR="007F51E3" w:rsidRDefault="007F51E3" w:rsidP="00762D26">
      <w:pPr>
        <w:pStyle w:val="TF"/>
        <w:numPr>
          <w:ilvl w:val="0"/>
          <w:numId w:val="9"/>
        </w:numPr>
        <w:jc w:val="left"/>
      </w:pPr>
      <w:r>
        <w:t>Indicate RAN2 preference of starting release</w:t>
      </w:r>
      <w:r w:rsidR="00762D26">
        <w:t>? (at least not Rel-15)</w:t>
      </w:r>
    </w:p>
    <w:p w14:paraId="5FF2457F" w14:textId="449A4F9B" w:rsidR="00A209D6" w:rsidRPr="006E13D1" w:rsidRDefault="00A209D6" w:rsidP="00A209D6">
      <w:pPr>
        <w:pStyle w:val="Heading1"/>
      </w:pPr>
      <w:r w:rsidRPr="006E13D1">
        <w:t>4</w:t>
      </w:r>
      <w:r w:rsidRPr="006E13D1">
        <w:tab/>
      </w:r>
      <w:r w:rsidR="00484A46">
        <w:t>References</w:t>
      </w:r>
    </w:p>
    <w:p w14:paraId="6C60FFDC" w14:textId="4FEB4085" w:rsidR="00A209D6" w:rsidRDefault="00484A46" w:rsidP="00A209D6">
      <w:r>
        <w:t xml:space="preserve">[1] </w:t>
      </w:r>
      <w:r w:rsidRPr="00484A46">
        <w:rPr>
          <w:b/>
        </w:rPr>
        <w:t>R2-1913525</w:t>
      </w:r>
      <w:r>
        <w:t xml:space="preserve">: </w:t>
      </w:r>
      <w:r w:rsidRPr="00484A46">
        <w:t>Handling of fallback band combinations</w:t>
      </w:r>
      <w:r>
        <w:t>, Ericsson, NTT DOCOMO</w:t>
      </w:r>
    </w:p>
    <w:p w14:paraId="6ED52C42" w14:textId="777C45DB" w:rsidR="00484A46" w:rsidRDefault="00484A46" w:rsidP="00A209D6">
      <w:r>
        <w:lastRenderedPageBreak/>
        <w:t xml:space="preserve">[2] </w:t>
      </w:r>
      <w:r w:rsidRPr="00484A46">
        <w:rPr>
          <w:b/>
        </w:rPr>
        <w:t>R2-1913965</w:t>
      </w:r>
      <w:r>
        <w:t xml:space="preserve">: </w:t>
      </w:r>
      <w:r w:rsidRPr="00484A46">
        <w:t>On FR2 CA fall-backs</w:t>
      </w:r>
      <w:r>
        <w:t xml:space="preserve">, </w:t>
      </w:r>
      <w:r w:rsidRPr="00484A46">
        <w:t>Nokia, Nokia Shanghai Bell</w:t>
      </w:r>
    </w:p>
    <w:p w14:paraId="39C38335" w14:textId="03C89F60" w:rsidR="00484A46" w:rsidRDefault="00484A46" w:rsidP="00484A46">
      <w:r>
        <w:t xml:space="preserve">[3] </w:t>
      </w:r>
      <w:r w:rsidRPr="00342AFA">
        <w:rPr>
          <w:b/>
        </w:rPr>
        <w:t>R4-1910238:</w:t>
      </w:r>
      <w:r>
        <w:t xml:space="preserve"> RAN4 </w:t>
      </w:r>
      <w:r w:rsidRPr="00966923">
        <w:t xml:space="preserve">CR for </w:t>
      </w:r>
      <w:r>
        <w:t>h</w:t>
      </w:r>
      <w:r w:rsidRPr="00966923">
        <w:t>andling of fallbacks for combined contiguous and non-contiguous CA in FR2</w:t>
      </w:r>
      <w:r>
        <w:t>, Apple</w:t>
      </w:r>
    </w:p>
    <w:p w14:paraId="1C8D6D42" w14:textId="3233CB50" w:rsidR="00484A46" w:rsidRDefault="00484A46" w:rsidP="00484A46">
      <w:r>
        <w:t xml:space="preserve">[4] </w:t>
      </w:r>
      <w:r w:rsidRPr="00342AFA">
        <w:rPr>
          <w:b/>
        </w:rPr>
        <w:t xml:space="preserve">R4-1908027: </w:t>
      </w:r>
      <w:r w:rsidRPr="00EC55C0">
        <w:t>Handling of fallbacks for combined contiguous and non-contiguous CA in FR2</w:t>
      </w:r>
      <w:r>
        <w:t>, Apple</w:t>
      </w:r>
    </w:p>
    <w:p w14:paraId="78A5511E" w14:textId="3F8E1013" w:rsidR="00484A46" w:rsidRDefault="00484A46" w:rsidP="00484A46">
      <w:r>
        <w:t xml:space="preserve">[5] </w:t>
      </w:r>
      <w:r w:rsidRPr="00342AFA">
        <w:rPr>
          <w:b/>
        </w:rPr>
        <w:t>TS 38.102-2</w:t>
      </w:r>
      <w:r>
        <w:t>: User Equipment (UE) radio transmission and reception; Part 2: Range 2 Standalone, 3GPP</w:t>
      </w:r>
    </w:p>
    <w:p w14:paraId="7925EB6C" w14:textId="7A19E1EB" w:rsidR="00484A46" w:rsidRDefault="00484A46" w:rsidP="00484A46">
      <w:r>
        <w:t xml:space="preserve">[6] </w:t>
      </w:r>
      <w:r w:rsidRPr="00342AFA">
        <w:rPr>
          <w:b/>
        </w:rPr>
        <w:t>TS 38.102-3</w:t>
      </w:r>
      <w:r>
        <w:t>: User Equipment (UE) radio transmission and reception; Part 3: Range 1 and Range 2 Interworking operation with other radios, 3GPP</w:t>
      </w:r>
    </w:p>
    <w:p w14:paraId="3EC5946E" w14:textId="7DC66B8F" w:rsidR="00484A46" w:rsidRDefault="00484A46" w:rsidP="00484A46">
      <w:r>
        <w:t xml:space="preserve">[7] </w:t>
      </w:r>
      <w:r w:rsidRPr="001B5B5B">
        <w:rPr>
          <w:b/>
        </w:rPr>
        <w:t xml:space="preserve">TS 38.331: </w:t>
      </w:r>
      <w:r>
        <w:t>Technical Specification Group Radio Access Network; NR; Radio Resource Control (RRC) protocol specification, 3GPP</w:t>
      </w:r>
    </w:p>
    <w:p w14:paraId="3CDC2617" w14:textId="232AE017" w:rsidR="00484A46" w:rsidRDefault="00484A46" w:rsidP="00484A46">
      <w:r>
        <w:t xml:space="preserve">[8] </w:t>
      </w:r>
      <w:r w:rsidRPr="001B4A36">
        <w:rPr>
          <w:b/>
        </w:rPr>
        <w:t xml:space="preserve">R4-1910238: </w:t>
      </w:r>
      <w:r w:rsidRPr="001B4A36">
        <w:t>LS on Handling of Fallbacks for combined contiguous and non-contiguous CA or DC configurations in FR2</w:t>
      </w:r>
    </w:p>
    <w:p w14:paraId="5AE90DCE" w14:textId="77777777" w:rsidR="00484A46" w:rsidRPr="006E13D1" w:rsidRDefault="00484A46"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NTT DOCOMO, INC." w:date="2019-11-05T09:26:00Z" w:initials="DCM">
    <w:p w14:paraId="6D51C838" w14:textId="0256EE00" w:rsidR="00EB0CC6" w:rsidRDefault="00EB0CC6">
      <w:pPr>
        <w:pStyle w:val="CommentText"/>
        <w:rPr>
          <w:lang w:eastAsia="ja-JP"/>
        </w:rPr>
      </w:pPr>
      <w:r>
        <w:rPr>
          <w:rStyle w:val="CommentReference"/>
        </w:rPr>
        <w:annotationRef/>
      </w:r>
      <w:r>
        <w:rPr>
          <w:rFonts w:hint="eastAsia"/>
          <w:lang w:eastAsia="ja-JP"/>
        </w:rPr>
        <w:t>S</w:t>
      </w:r>
      <w:r>
        <w:rPr>
          <w:lang w:eastAsia="ja-JP"/>
        </w:rPr>
        <w:t>uch the negative indication has not been supported for LTE.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51C8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51C838" w16cid:durableId="216E76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09DE1" w14:textId="77777777" w:rsidR="003D4EC3" w:rsidRDefault="003D4EC3">
      <w:r>
        <w:separator/>
      </w:r>
    </w:p>
  </w:endnote>
  <w:endnote w:type="continuationSeparator" w:id="0">
    <w:p w14:paraId="68AB5816" w14:textId="77777777" w:rsidR="003D4EC3" w:rsidRDefault="003D4EC3">
      <w:r>
        <w:continuationSeparator/>
      </w:r>
    </w:p>
  </w:endnote>
  <w:endnote w:type="continuationNotice" w:id="1">
    <w:p w14:paraId="3166483C" w14:textId="77777777" w:rsidR="003D4EC3" w:rsidRDefault="003D4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9197C" w14:textId="77777777" w:rsidR="003D4EC3" w:rsidRDefault="003D4EC3">
      <w:r>
        <w:separator/>
      </w:r>
    </w:p>
  </w:footnote>
  <w:footnote w:type="continuationSeparator" w:id="0">
    <w:p w14:paraId="2152AA68" w14:textId="77777777" w:rsidR="003D4EC3" w:rsidRDefault="003D4EC3">
      <w:r>
        <w:continuationSeparator/>
      </w:r>
    </w:p>
  </w:footnote>
  <w:footnote w:type="continuationNotice" w:id="1">
    <w:p w14:paraId="31D2CFAA" w14:textId="77777777" w:rsidR="003D4EC3" w:rsidRDefault="003D4E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4843B5"/>
    <w:multiLevelType w:val="hybridMultilevel"/>
    <w:tmpl w:val="141E11F2"/>
    <w:lvl w:ilvl="0" w:tplc="2FECD35C">
      <w:start w:val="3"/>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2AAF"/>
    <w:rsid w:val="00023C40"/>
    <w:rsid w:val="00033397"/>
    <w:rsid w:val="00040095"/>
    <w:rsid w:val="00060252"/>
    <w:rsid w:val="00060F5A"/>
    <w:rsid w:val="00061BC8"/>
    <w:rsid w:val="00073C9C"/>
    <w:rsid w:val="00080512"/>
    <w:rsid w:val="00082D48"/>
    <w:rsid w:val="00090468"/>
    <w:rsid w:val="00094568"/>
    <w:rsid w:val="000A3ACD"/>
    <w:rsid w:val="000B04D6"/>
    <w:rsid w:val="000B7BCF"/>
    <w:rsid w:val="000C522B"/>
    <w:rsid w:val="000D58AB"/>
    <w:rsid w:val="000F56E5"/>
    <w:rsid w:val="00112F1A"/>
    <w:rsid w:val="00123D37"/>
    <w:rsid w:val="00145075"/>
    <w:rsid w:val="0015683E"/>
    <w:rsid w:val="001741A0"/>
    <w:rsid w:val="00175FA0"/>
    <w:rsid w:val="00186782"/>
    <w:rsid w:val="00194CD0"/>
    <w:rsid w:val="001A68AC"/>
    <w:rsid w:val="001B49C9"/>
    <w:rsid w:val="001C23F4"/>
    <w:rsid w:val="001C4F79"/>
    <w:rsid w:val="001F03FE"/>
    <w:rsid w:val="001F14B3"/>
    <w:rsid w:val="001F168B"/>
    <w:rsid w:val="001F7831"/>
    <w:rsid w:val="00204045"/>
    <w:rsid w:val="0020712B"/>
    <w:rsid w:val="00224A34"/>
    <w:rsid w:val="0022606D"/>
    <w:rsid w:val="00231728"/>
    <w:rsid w:val="00235EEE"/>
    <w:rsid w:val="00250404"/>
    <w:rsid w:val="002610D8"/>
    <w:rsid w:val="002747EC"/>
    <w:rsid w:val="002855BF"/>
    <w:rsid w:val="002C01D6"/>
    <w:rsid w:val="002F0D22"/>
    <w:rsid w:val="003172DC"/>
    <w:rsid w:val="00325AE3"/>
    <w:rsid w:val="00326069"/>
    <w:rsid w:val="0035462D"/>
    <w:rsid w:val="00364B41"/>
    <w:rsid w:val="00382E34"/>
    <w:rsid w:val="00383096"/>
    <w:rsid w:val="003A41EF"/>
    <w:rsid w:val="003B40AD"/>
    <w:rsid w:val="003C4E37"/>
    <w:rsid w:val="003D21B2"/>
    <w:rsid w:val="003D4EC3"/>
    <w:rsid w:val="003E16BE"/>
    <w:rsid w:val="003F4E28"/>
    <w:rsid w:val="004006E8"/>
    <w:rsid w:val="00401855"/>
    <w:rsid w:val="00442EA5"/>
    <w:rsid w:val="00465587"/>
    <w:rsid w:val="00477455"/>
    <w:rsid w:val="00484A46"/>
    <w:rsid w:val="004A1F7B"/>
    <w:rsid w:val="004C44D2"/>
    <w:rsid w:val="004D3578"/>
    <w:rsid w:val="004D380D"/>
    <w:rsid w:val="004E213A"/>
    <w:rsid w:val="0050208F"/>
    <w:rsid w:val="00503171"/>
    <w:rsid w:val="00506C28"/>
    <w:rsid w:val="00534DA0"/>
    <w:rsid w:val="00543E6C"/>
    <w:rsid w:val="00556B18"/>
    <w:rsid w:val="00565087"/>
    <w:rsid w:val="0056573F"/>
    <w:rsid w:val="005761D7"/>
    <w:rsid w:val="00583E8A"/>
    <w:rsid w:val="005A7248"/>
    <w:rsid w:val="005E12DC"/>
    <w:rsid w:val="00611566"/>
    <w:rsid w:val="00646D99"/>
    <w:rsid w:val="00656910"/>
    <w:rsid w:val="006574C0"/>
    <w:rsid w:val="00692A5A"/>
    <w:rsid w:val="006A1F30"/>
    <w:rsid w:val="006C66D8"/>
    <w:rsid w:val="006D1E24"/>
    <w:rsid w:val="006E1417"/>
    <w:rsid w:val="006F6A2C"/>
    <w:rsid w:val="007069DC"/>
    <w:rsid w:val="00710201"/>
    <w:rsid w:val="0072073A"/>
    <w:rsid w:val="007342B5"/>
    <w:rsid w:val="00734A5B"/>
    <w:rsid w:val="00744E76"/>
    <w:rsid w:val="00757D40"/>
    <w:rsid w:val="00762D26"/>
    <w:rsid w:val="007662B5"/>
    <w:rsid w:val="007752E7"/>
    <w:rsid w:val="00781F0F"/>
    <w:rsid w:val="0078727C"/>
    <w:rsid w:val="0079049D"/>
    <w:rsid w:val="00793DC5"/>
    <w:rsid w:val="007B18D8"/>
    <w:rsid w:val="007C095F"/>
    <w:rsid w:val="007C2DD0"/>
    <w:rsid w:val="007E6E3A"/>
    <w:rsid w:val="007F2E08"/>
    <w:rsid w:val="007F51E3"/>
    <w:rsid w:val="008028A4"/>
    <w:rsid w:val="00802AE0"/>
    <w:rsid w:val="00813245"/>
    <w:rsid w:val="00840DE0"/>
    <w:rsid w:val="0086354A"/>
    <w:rsid w:val="00866D75"/>
    <w:rsid w:val="008768CA"/>
    <w:rsid w:val="00877EF9"/>
    <w:rsid w:val="00880559"/>
    <w:rsid w:val="00887D31"/>
    <w:rsid w:val="008B15C6"/>
    <w:rsid w:val="008B5306"/>
    <w:rsid w:val="008C2E2A"/>
    <w:rsid w:val="008C3057"/>
    <w:rsid w:val="008C778B"/>
    <w:rsid w:val="008D2E4D"/>
    <w:rsid w:val="008F396F"/>
    <w:rsid w:val="0090271F"/>
    <w:rsid w:val="00902DB9"/>
    <w:rsid w:val="0090466A"/>
    <w:rsid w:val="00923655"/>
    <w:rsid w:val="00936071"/>
    <w:rsid w:val="00940212"/>
    <w:rsid w:val="00942EC2"/>
    <w:rsid w:val="00950630"/>
    <w:rsid w:val="00961B32"/>
    <w:rsid w:val="00962509"/>
    <w:rsid w:val="00970DB3"/>
    <w:rsid w:val="00974BB0"/>
    <w:rsid w:val="00975BCD"/>
    <w:rsid w:val="009A0AF3"/>
    <w:rsid w:val="009A6FE9"/>
    <w:rsid w:val="009B07CD"/>
    <w:rsid w:val="009C19E9"/>
    <w:rsid w:val="009C72A3"/>
    <w:rsid w:val="009D74A6"/>
    <w:rsid w:val="00A10F02"/>
    <w:rsid w:val="00A16836"/>
    <w:rsid w:val="00A204CA"/>
    <w:rsid w:val="00A209D6"/>
    <w:rsid w:val="00A45950"/>
    <w:rsid w:val="00A53724"/>
    <w:rsid w:val="00A54B2B"/>
    <w:rsid w:val="00A82346"/>
    <w:rsid w:val="00A9671C"/>
    <w:rsid w:val="00AA1553"/>
    <w:rsid w:val="00AC244F"/>
    <w:rsid w:val="00B05380"/>
    <w:rsid w:val="00B05962"/>
    <w:rsid w:val="00B15449"/>
    <w:rsid w:val="00B16C2F"/>
    <w:rsid w:val="00B27303"/>
    <w:rsid w:val="00B47FD1"/>
    <w:rsid w:val="00B516BB"/>
    <w:rsid w:val="00B75EF8"/>
    <w:rsid w:val="00B766C1"/>
    <w:rsid w:val="00B84DB2"/>
    <w:rsid w:val="00B94406"/>
    <w:rsid w:val="00BB06CF"/>
    <w:rsid w:val="00BC16E1"/>
    <w:rsid w:val="00BC3555"/>
    <w:rsid w:val="00BC5B9C"/>
    <w:rsid w:val="00C06522"/>
    <w:rsid w:val="00C12B51"/>
    <w:rsid w:val="00C24650"/>
    <w:rsid w:val="00C25465"/>
    <w:rsid w:val="00C33079"/>
    <w:rsid w:val="00C47265"/>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80795"/>
    <w:rsid w:val="00D854BE"/>
    <w:rsid w:val="00D860E3"/>
    <w:rsid w:val="00D87E00"/>
    <w:rsid w:val="00D906F9"/>
    <w:rsid w:val="00D9134D"/>
    <w:rsid w:val="00D96D11"/>
    <w:rsid w:val="00DA7A03"/>
    <w:rsid w:val="00DB0DB8"/>
    <w:rsid w:val="00DB1818"/>
    <w:rsid w:val="00DC309B"/>
    <w:rsid w:val="00DC4DA2"/>
    <w:rsid w:val="00DC5261"/>
    <w:rsid w:val="00DE25D2"/>
    <w:rsid w:val="00E46C08"/>
    <w:rsid w:val="00E471CF"/>
    <w:rsid w:val="00E4754D"/>
    <w:rsid w:val="00E62835"/>
    <w:rsid w:val="00E77645"/>
    <w:rsid w:val="00E83697"/>
    <w:rsid w:val="00E96D4A"/>
    <w:rsid w:val="00EA66C9"/>
    <w:rsid w:val="00EB0CC6"/>
    <w:rsid w:val="00EB7AAD"/>
    <w:rsid w:val="00EC4A25"/>
    <w:rsid w:val="00F025A2"/>
    <w:rsid w:val="00F036E9"/>
    <w:rsid w:val="00F07388"/>
    <w:rsid w:val="00F16978"/>
    <w:rsid w:val="00F2026E"/>
    <w:rsid w:val="00F2210A"/>
    <w:rsid w:val="00F37743"/>
    <w:rsid w:val="00F54A3D"/>
    <w:rsid w:val="00F54CB0"/>
    <w:rsid w:val="00F564A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442EA5"/>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442E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42EA5"/>
    <w:rPr>
      <w:rFonts w:ascii="Arial" w:eastAsia="MS Mincho" w:hAnsi="Arial"/>
      <w:szCs w:val="24"/>
    </w:rPr>
  </w:style>
  <w:style w:type="character" w:customStyle="1" w:styleId="Doc-titleChar">
    <w:name w:val="Doc-title Char"/>
    <w:link w:val="Doc-title"/>
    <w:qFormat/>
    <w:rsid w:val="00442EA5"/>
    <w:rPr>
      <w:rFonts w:ascii="Arial" w:eastAsia="MS Mincho" w:hAnsi="Arial"/>
      <w:noProof/>
      <w:szCs w:val="24"/>
    </w:rPr>
  </w:style>
  <w:style w:type="paragraph" w:customStyle="1" w:styleId="EmailDiscussion">
    <w:name w:val="EmailDiscussion"/>
    <w:basedOn w:val="Normal"/>
    <w:next w:val="EmailDiscussion2"/>
    <w:link w:val="EmailDiscussionChar"/>
    <w:rsid w:val="00442EA5"/>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442EA5"/>
    <w:rPr>
      <w:rFonts w:ascii="Arial" w:eastAsia="MS Mincho" w:hAnsi="Arial"/>
      <w:b/>
      <w:szCs w:val="24"/>
    </w:rPr>
  </w:style>
  <w:style w:type="paragraph" w:customStyle="1" w:styleId="EmailDiscussion2">
    <w:name w:val="EmailDiscussion2"/>
    <w:basedOn w:val="Doc-text2"/>
    <w:qFormat/>
    <w:rsid w:val="00442EA5"/>
  </w:style>
  <w:style w:type="paragraph" w:customStyle="1" w:styleId="BoldComments">
    <w:name w:val="Bold Comments"/>
    <w:basedOn w:val="Normal"/>
    <w:link w:val="BoldCommentsChar"/>
    <w:qFormat/>
    <w:rsid w:val="00442EA5"/>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442EA5"/>
    <w:rPr>
      <w:rFonts w:ascii="Arial" w:eastAsia="MS Mincho" w:hAnsi="Arial"/>
      <w:b/>
      <w:szCs w:val="24"/>
    </w:rPr>
  </w:style>
  <w:style w:type="table" w:styleId="TableGrid">
    <w:name w:val="Table Grid"/>
    <w:basedOn w:val="TableNormal"/>
    <w:rsid w:val="00082D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B0CC6"/>
    <w:rPr>
      <w:sz w:val="18"/>
      <w:szCs w:val="18"/>
    </w:rPr>
  </w:style>
  <w:style w:type="paragraph" w:styleId="CommentText">
    <w:name w:val="annotation text"/>
    <w:basedOn w:val="Normal"/>
    <w:link w:val="CommentTextChar"/>
    <w:rsid w:val="00EB0CC6"/>
  </w:style>
  <w:style w:type="character" w:customStyle="1" w:styleId="CommentTextChar">
    <w:name w:val="Comment Text Char"/>
    <w:basedOn w:val="DefaultParagraphFont"/>
    <w:link w:val="CommentText"/>
    <w:rsid w:val="00EB0CC6"/>
    <w:rPr>
      <w:lang w:eastAsia="en-US"/>
    </w:rPr>
  </w:style>
  <w:style w:type="paragraph" w:styleId="CommentSubject">
    <w:name w:val="annotation subject"/>
    <w:basedOn w:val="CommentText"/>
    <w:next w:val="CommentText"/>
    <w:link w:val="CommentSubjectChar"/>
    <w:rsid w:val="00EB0CC6"/>
    <w:rPr>
      <w:b/>
      <w:bCs/>
    </w:rPr>
  </w:style>
  <w:style w:type="character" w:customStyle="1" w:styleId="CommentSubjectChar">
    <w:name w:val="Comment Subject Char"/>
    <w:basedOn w:val="CommentTextChar"/>
    <w:link w:val="CommentSubject"/>
    <w:rsid w:val="00EB0CC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tsg_ran\WG2\RAN2\Docs\R2-1913964.zip"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D:\Documents\3GPP\tsg_ran\WG2\RAN2\Docs\R2-1913022.zip"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D:\Documents\3GPP\tsg_ran\WG2\RAN2\Docs\R2-1913525.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tsg_ran\WG2\RAN2\Docs\R2-19139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8c6296e855d176dfb3004db6bddfb295">
  <xsd:schema xmlns:xsd="http://www.w3.org/2001/XMLSchema" xmlns:xs="http://www.w3.org/2001/XMLSchema" xmlns:p="http://schemas.microsoft.com/office/2006/metadata/properties" xmlns:ns3="71c5aaf6-e6ce-465b-b873-5148d2a4c105" xmlns:ns4="063c6eb4-0fc5-41cf-90f7-6fad9b894f44" xmlns:ns5="b672847a-5f88-42a2-b3e2-50bdf8de63d5" targetNamespace="http://schemas.microsoft.com/office/2006/metadata/properties" ma:root="true" ma:fieldsID="d1089f3f04eca53e7f45be8bd7fa7210" ns3:_="" ns4:_="" ns5:_="">
    <xsd:import namespace="71c5aaf6-e6ce-465b-b873-5148d2a4c105"/>
    <xsd:import namespace="063c6eb4-0fc5-41cf-90f7-6fad9b894f44"/>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OCR" minOccurs="0"/>
                <xsd:element ref="ns5:MediaServiceMetadata" minOccurs="0"/>
                <xsd:element ref="ns5:MediaServiceFastMetadata" minOccurs="0"/>
                <xsd:element ref="ns5:MediaServiceAutoTags" minOccurs="0"/>
                <xsd:element ref="ns5:MediaServiceDateTake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AutoTags" ma:index="18" nillable="true" ma:displayName="MediaServiceAutoTags" ma:description="" ma:internalName="MediaServiceAutoTags" ma:readOnly="true">
      <xsd:simpleType>
        <xsd:restriction base="dms:Text"/>
      </xsd:simpleType>
    </xsd:element>
    <xsd:element name="MediaServiceDateTaken" ma:index="19" nillable="true" ma:displayName="MediaServiceDateTaken" ma:description="" ma:hidden="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b672847a-5f88-42a2-b3e2-50bdf8de63d5"/>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063c6eb4-0fc5-41cf-90f7-6fad9b894f44"/>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2F5A3339-197D-403D-A572-B979731FAE4D}">
  <ds:schemaRefs>
    <ds:schemaRef ds:uri="http://schemas.microsoft.com/sharepoint/events"/>
  </ds:schemaRefs>
</ds:datastoreItem>
</file>

<file path=customXml/itemProps4.xml><?xml version="1.0" encoding="utf-8"?>
<ds:datastoreItem xmlns:ds="http://schemas.openxmlformats.org/officeDocument/2006/customXml" ds:itemID="{F164D213-908C-4160-92A3-E76C47726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3c6eb4-0fc5-41cf-90f7-6fad9b894f44"/>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5</Pages>
  <Words>2032</Words>
  <Characters>11236</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Nokia Siemens Networks</Company>
  <LinksUpToDate>false</LinksUpToDate>
  <CharactersWithSpaces>13242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0126540</dc:creator>
  <cp:lastModifiedBy>Nokia RAN2</cp:lastModifiedBy>
  <cp:revision>8</cp:revision>
  <cp:lastPrinted>2019-11-06T06:43:00Z</cp:lastPrinted>
  <dcterms:created xsi:type="dcterms:W3CDTF">2019-11-07T14:58:00Z</dcterms:created>
  <dcterms:modified xsi:type="dcterms:W3CDTF">2019-11-07T18:18:00Z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dlc_DocIdItemGuid">
    <vt:lpwstr>d3b95e69-23e6-4741-a617-a04fbf32d452</vt:lpwstr>
  </property>
  <property fmtid="{D5CDD505-2E9C-101B-9397-08002B2CF9AE}" pid="4" name="_2015_ms_pID_725343">
    <vt:lpwstr>(2)gTu46Cy9JzFjjKzMV/GZjsMI7sco6Rbqzl7CPHYRxqoTwkM3TcmDgsR/ANyVLpM1hrTmfpyN
sNxwn5HJFSdA2JY0CuZ/PACGxC3upwScHKfCed9n74JES4qRmTmVyr+JM6Ja9WJD7MWi3Z/z
Vicybf/rVklW+SKWZM+cZL/WzmF6KKsr86kkkgU5Lk92WjLqQEXHgsaEFrj4ggvl/W+2LX2o
gmOCWHNEI3LvShJygy</vt:lpwstr>
  </property>
  <property fmtid="{D5CDD505-2E9C-101B-9397-08002B2CF9AE}" pid="5" name="_2015_ms_pID_7253431">
    <vt:lpwstr>4aKGy/qHo4atT1KqLYTHxrqtKnUyNABQsCv/DiL9oZClDWtF6HjNyE
nzOHql4kmmWWNKejlBxNwP0yzZxJCBBBXHKktWQta8R6DHu921c/icgAAw8yXIhdvmPDAlFz
Hob1bV2PbPx8z+q5R0saUVlBCfZp3XZQbM2MiGq2WM/sUY7Tyh18/UyufkHXM3GnGJM=</vt:lpwstr>
  </property>
</Properties>
</file>